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533C37" w14:textId="77777777" w:rsidR="007747D7" w:rsidRPr="00CB7EFC" w:rsidRDefault="007747D7" w:rsidP="007747D7">
      <w:pPr>
        <w:rPr>
          <w:sz w:val="22"/>
          <w:szCs w:val="22"/>
        </w:rPr>
      </w:pPr>
      <w:r w:rsidRPr="00B17849">
        <w:rPr>
          <w:b/>
          <w:sz w:val="22"/>
          <w:szCs w:val="22"/>
        </w:rPr>
        <w:t>Target number:</w:t>
      </w:r>
      <w:r>
        <w:rPr>
          <w:b/>
          <w:sz w:val="22"/>
          <w:szCs w:val="22"/>
        </w:rPr>
        <w:t xml:space="preserve"> </w:t>
      </w:r>
      <w:r>
        <w:rPr>
          <w:sz w:val="22"/>
          <w:szCs w:val="22"/>
        </w:rPr>
        <w:t>3.8</w:t>
      </w:r>
    </w:p>
    <w:p w14:paraId="453A0397" w14:textId="77777777" w:rsidR="007747D7" w:rsidRPr="00B17849" w:rsidRDefault="007747D7" w:rsidP="007747D7">
      <w:pPr>
        <w:rPr>
          <w:b/>
          <w:sz w:val="22"/>
          <w:szCs w:val="22"/>
        </w:rPr>
      </w:pPr>
    </w:p>
    <w:p w14:paraId="5DA88A20" w14:textId="77777777" w:rsidR="007747D7" w:rsidRPr="00B17849" w:rsidRDefault="007747D7" w:rsidP="007747D7">
      <w:pPr>
        <w:rPr>
          <w:sz w:val="22"/>
          <w:szCs w:val="22"/>
        </w:rPr>
      </w:pPr>
      <w:r w:rsidRPr="00B17849">
        <w:rPr>
          <w:b/>
          <w:sz w:val="22"/>
          <w:szCs w:val="22"/>
        </w:rPr>
        <w:t>Indicator Number and Name:</w:t>
      </w:r>
      <w:r w:rsidRPr="00B17849">
        <w:rPr>
          <w:sz w:val="22"/>
          <w:szCs w:val="22"/>
        </w:rPr>
        <w:t xml:space="preserve"> </w:t>
      </w:r>
      <w:r w:rsidRPr="00CB7EFC">
        <w:rPr>
          <w:sz w:val="22"/>
          <w:szCs w:val="22"/>
        </w:rPr>
        <w:t>3.8.1 UHC coverage of essential health services</w:t>
      </w:r>
    </w:p>
    <w:p w14:paraId="25C7D866" w14:textId="77777777" w:rsidR="007747D7" w:rsidRPr="00B17849" w:rsidRDefault="007747D7" w:rsidP="007747D7">
      <w:pPr>
        <w:rPr>
          <w:b/>
          <w:sz w:val="22"/>
          <w:szCs w:val="22"/>
        </w:rPr>
      </w:pPr>
    </w:p>
    <w:p w14:paraId="7CE57F98" w14:textId="4232C74B" w:rsidR="007747D7" w:rsidRPr="00083991" w:rsidRDefault="007747D7" w:rsidP="007747D7">
      <w:pPr>
        <w:rPr>
          <w:sz w:val="22"/>
          <w:szCs w:val="22"/>
        </w:rPr>
      </w:pPr>
      <w:r w:rsidRPr="00B17849">
        <w:rPr>
          <w:b/>
          <w:sz w:val="22"/>
          <w:szCs w:val="22"/>
        </w:rPr>
        <w:t xml:space="preserve">Agency: </w:t>
      </w:r>
      <w:r w:rsidRPr="00CB7EFC">
        <w:rPr>
          <w:sz w:val="22"/>
          <w:szCs w:val="22"/>
        </w:rPr>
        <w:t>WHO</w:t>
      </w:r>
    </w:p>
    <w:p w14:paraId="06100931" w14:textId="77777777" w:rsidR="007747D7" w:rsidRDefault="007747D7" w:rsidP="007747D7">
      <w:pPr>
        <w:rPr>
          <w:b/>
          <w:sz w:val="22"/>
          <w:szCs w:val="22"/>
        </w:rPr>
      </w:pPr>
    </w:p>
    <w:p w14:paraId="4A55854B" w14:textId="6A1F6BE1" w:rsidR="00B72D6E" w:rsidRDefault="00B72D6E" w:rsidP="007747D7">
      <w:pPr>
        <w:rPr>
          <w:b/>
          <w:sz w:val="22"/>
          <w:szCs w:val="22"/>
        </w:rPr>
      </w:pPr>
      <w:r>
        <w:rPr>
          <w:b/>
          <w:sz w:val="22"/>
          <w:szCs w:val="22"/>
        </w:rPr>
        <w:t>Overview of methodology development</w:t>
      </w:r>
    </w:p>
    <w:p w14:paraId="527A8F99" w14:textId="77777777" w:rsidR="00B72D6E" w:rsidRPr="00B72D6E" w:rsidRDefault="00B72D6E" w:rsidP="007747D7">
      <w:pPr>
        <w:rPr>
          <w:b/>
          <w:sz w:val="22"/>
          <w:szCs w:val="22"/>
        </w:rPr>
      </w:pPr>
    </w:p>
    <w:p w14:paraId="72F093B3" w14:textId="61D90263" w:rsidR="00B72D6E" w:rsidRPr="00B72D6E" w:rsidRDefault="00B72D6E" w:rsidP="00B72D6E">
      <w:pPr>
        <w:spacing w:after="120"/>
        <w:rPr>
          <w:rFonts w:cs="TimesNewRomanPS-BoldMT"/>
          <w:sz w:val="22"/>
          <w:szCs w:val="22"/>
        </w:rPr>
      </w:pPr>
      <w:r w:rsidRPr="00CB7EFC">
        <w:rPr>
          <w:sz w:val="22"/>
          <w:szCs w:val="22"/>
        </w:rPr>
        <w:t>In response to governments’ calls for technical support on UHC monitoring, WHO and the World Bank came together to produce a UHC monitoring framework, which is based on a series of country case studies and technical reviews as well as consultations and discussions with country representatives, technical experts and global health and development partners. The framework focuses on the two key components of UHC: coverage of the population with quality, essential health services and coverage of the population with financial prote</w:t>
      </w:r>
      <w:r w:rsidRPr="00B72D6E">
        <w:rPr>
          <w:sz w:val="22"/>
          <w:szCs w:val="22"/>
        </w:rPr>
        <w:t xml:space="preserve">ction. </w:t>
      </w:r>
      <w:r w:rsidRPr="00B72D6E">
        <w:rPr>
          <w:rFonts w:cs="TimesNewRomanPS-BoldMT"/>
          <w:sz w:val="22"/>
          <w:szCs w:val="22"/>
        </w:rPr>
        <w:t xml:space="preserve">The tracer indicators included in the index are all well-established and internationally recognized, and appear in </w:t>
      </w:r>
      <w:proofErr w:type="gramStart"/>
      <w:r w:rsidRPr="00B72D6E">
        <w:rPr>
          <w:rFonts w:cs="TimesNewRomanPS-BoldMT"/>
          <w:sz w:val="22"/>
          <w:szCs w:val="22"/>
        </w:rPr>
        <w:t>WHO’s</w:t>
      </w:r>
      <w:proofErr w:type="gramEnd"/>
      <w:r w:rsidRPr="00B72D6E">
        <w:rPr>
          <w:rFonts w:cs="TimesNewRomanPS-BoldMT"/>
          <w:sz w:val="22"/>
          <w:szCs w:val="22"/>
        </w:rPr>
        <w:t xml:space="preserve"> 100 Core Health Indicators global reference list. The methods for computing the index draw on the existing methods of the Human Development Index. </w:t>
      </w:r>
      <w:hyperlink r:id="rId7" w:history="1">
        <w:r w:rsidRPr="00133B31">
          <w:rPr>
            <w:rStyle w:val="Hyperlink"/>
            <w:sz w:val="22"/>
            <w:szCs w:val="22"/>
          </w:rPr>
          <w:t>Several publications</w:t>
        </w:r>
      </w:hyperlink>
      <w:r w:rsidRPr="00CB7EFC">
        <w:rPr>
          <w:sz w:val="22"/>
          <w:szCs w:val="22"/>
        </w:rPr>
        <w:t xml:space="preserve"> have supported the development of the indi</w:t>
      </w:r>
      <w:r>
        <w:rPr>
          <w:sz w:val="22"/>
          <w:szCs w:val="22"/>
        </w:rPr>
        <w:t>cator and are as follows:</w:t>
      </w:r>
    </w:p>
    <w:p w14:paraId="44CD2718" w14:textId="7B5479FC" w:rsidR="001B439B" w:rsidRDefault="001B439B" w:rsidP="001B439B">
      <w:pPr>
        <w:rPr>
          <w:sz w:val="22"/>
          <w:szCs w:val="22"/>
        </w:rPr>
      </w:pPr>
      <w:r>
        <w:rPr>
          <w:sz w:val="22"/>
          <w:szCs w:val="22"/>
        </w:rPr>
        <w:t xml:space="preserve">1. </w:t>
      </w:r>
      <w:hyperlink r:id="rId8" w:history="1">
        <w:r w:rsidRPr="001B439B">
          <w:rPr>
            <w:rStyle w:val="Hyperlink"/>
            <w:sz w:val="22"/>
            <w:szCs w:val="22"/>
          </w:rPr>
          <w:t>Tracking universal health coverage: 2017 global monitoring report</w:t>
        </w:r>
      </w:hyperlink>
      <w:r>
        <w:rPr>
          <w:sz w:val="22"/>
          <w:szCs w:val="22"/>
        </w:rPr>
        <w:t xml:space="preserve">. Joint WHO/World Bank report published December 2017. This report described the current methodology and gave country results for the service coverage index for 2015.  </w:t>
      </w:r>
    </w:p>
    <w:p w14:paraId="0D619133" w14:textId="77777777" w:rsidR="001B439B" w:rsidRDefault="001B439B" w:rsidP="001B439B">
      <w:pPr>
        <w:rPr>
          <w:sz w:val="22"/>
          <w:szCs w:val="22"/>
        </w:rPr>
      </w:pPr>
    </w:p>
    <w:p w14:paraId="125F2B19" w14:textId="4392A57E" w:rsidR="00B72D6E" w:rsidRDefault="001B439B" w:rsidP="001B439B">
      <w:pPr>
        <w:rPr>
          <w:sz w:val="22"/>
          <w:szCs w:val="22"/>
        </w:rPr>
      </w:pPr>
      <w:r>
        <w:rPr>
          <w:sz w:val="22"/>
          <w:szCs w:val="22"/>
        </w:rPr>
        <w:t xml:space="preserve">2. </w:t>
      </w:r>
      <w:r w:rsidRPr="00BF09B8">
        <w:rPr>
          <w:sz w:val="22"/>
          <w:szCs w:val="22"/>
        </w:rPr>
        <w:t xml:space="preserve">Hogan DR, Stevens GA, Hosseinpoor AR, Boerma T. </w:t>
      </w:r>
      <w:hyperlink r:id="rId9" w:history="1">
        <w:r w:rsidRPr="003933F9">
          <w:rPr>
            <w:rStyle w:val="Hyperlink"/>
            <w:sz w:val="22"/>
            <w:szCs w:val="22"/>
          </w:rPr>
          <w:t>Monitoring universal health coverage within the Sustainable Development Goals: development and baseline data for an index of essential health services</w:t>
        </w:r>
      </w:hyperlink>
      <w:r w:rsidRPr="00BF09B8">
        <w:rPr>
          <w:sz w:val="22"/>
          <w:szCs w:val="22"/>
        </w:rPr>
        <w:t xml:space="preserve">. </w:t>
      </w:r>
      <w:proofErr w:type="gramStart"/>
      <w:r w:rsidRPr="00BF09B8">
        <w:rPr>
          <w:sz w:val="22"/>
          <w:szCs w:val="22"/>
        </w:rPr>
        <w:t>The Lancet Global Health.</w:t>
      </w:r>
      <w:proofErr w:type="gramEnd"/>
      <w:r w:rsidRPr="00BF09B8">
        <w:rPr>
          <w:sz w:val="22"/>
          <w:szCs w:val="22"/>
        </w:rPr>
        <w:t xml:space="preserve"> </w:t>
      </w:r>
      <w:proofErr w:type="gramStart"/>
      <w:r w:rsidRPr="00BF09B8">
        <w:rPr>
          <w:sz w:val="22"/>
          <w:szCs w:val="22"/>
        </w:rPr>
        <w:t>2017 Dec 13.</w:t>
      </w:r>
      <w:proofErr w:type="gramEnd"/>
      <w:r w:rsidRPr="00BF09B8">
        <w:rPr>
          <w:sz w:val="22"/>
          <w:szCs w:val="22"/>
        </w:rPr>
        <w:t xml:space="preserve"> </w:t>
      </w:r>
      <w:proofErr w:type="gramStart"/>
      <w:r w:rsidRPr="00BF09B8">
        <w:rPr>
          <w:sz w:val="22"/>
          <w:szCs w:val="22"/>
        </w:rPr>
        <w:t>Academic publication further supporting the index methodology.</w:t>
      </w:r>
      <w:proofErr w:type="gramEnd"/>
    </w:p>
    <w:p w14:paraId="3FAF57EE" w14:textId="77777777" w:rsidR="001B439B" w:rsidRPr="00CB7EFC" w:rsidRDefault="001B439B" w:rsidP="00B72D6E">
      <w:pPr>
        <w:rPr>
          <w:sz w:val="22"/>
          <w:szCs w:val="22"/>
        </w:rPr>
      </w:pPr>
    </w:p>
    <w:p w14:paraId="6805154D" w14:textId="005C821B" w:rsidR="00B72D6E" w:rsidRPr="00CB7EFC" w:rsidRDefault="001B439B" w:rsidP="00B72D6E">
      <w:pPr>
        <w:rPr>
          <w:sz w:val="22"/>
          <w:szCs w:val="22"/>
        </w:rPr>
      </w:pPr>
      <w:r>
        <w:rPr>
          <w:sz w:val="22"/>
          <w:szCs w:val="22"/>
        </w:rPr>
        <w:t>3</w:t>
      </w:r>
      <w:r w:rsidR="00B72D6E" w:rsidRPr="00CB7EFC">
        <w:rPr>
          <w:sz w:val="22"/>
          <w:szCs w:val="22"/>
        </w:rPr>
        <w:t xml:space="preserve">. </w:t>
      </w:r>
      <w:hyperlink r:id="rId10" w:history="1">
        <w:r w:rsidR="00B72D6E" w:rsidRPr="00133B31">
          <w:rPr>
            <w:rStyle w:val="Hyperlink"/>
            <w:sz w:val="22"/>
            <w:szCs w:val="22"/>
          </w:rPr>
          <w:t>Tracking universal health coverage: First global monitoring report</w:t>
        </w:r>
      </w:hyperlink>
      <w:r w:rsidR="00B72D6E" w:rsidRPr="00CB7EFC">
        <w:rPr>
          <w:sz w:val="22"/>
          <w:szCs w:val="22"/>
        </w:rPr>
        <w:t xml:space="preserve">. Joint WHO/World Bank report published June 2015. This report presented the data available to monitor universal health coverage, including coverage of selected tracer interventions. </w:t>
      </w:r>
    </w:p>
    <w:p w14:paraId="260F2628" w14:textId="77777777" w:rsidR="00B72D6E" w:rsidRPr="00CB7EFC" w:rsidRDefault="00B72D6E" w:rsidP="00B72D6E">
      <w:pPr>
        <w:rPr>
          <w:sz w:val="22"/>
          <w:szCs w:val="22"/>
        </w:rPr>
      </w:pPr>
    </w:p>
    <w:p w14:paraId="2E3797B0" w14:textId="7EB5FC1B" w:rsidR="00B72D6E" w:rsidRPr="00CB7EFC" w:rsidRDefault="001B439B" w:rsidP="00B72D6E">
      <w:pPr>
        <w:rPr>
          <w:sz w:val="22"/>
          <w:szCs w:val="22"/>
        </w:rPr>
      </w:pPr>
      <w:r>
        <w:rPr>
          <w:sz w:val="22"/>
          <w:szCs w:val="22"/>
        </w:rPr>
        <w:t>4</w:t>
      </w:r>
      <w:r w:rsidR="00B72D6E" w:rsidRPr="00CB7EFC">
        <w:rPr>
          <w:sz w:val="22"/>
          <w:szCs w:val="22"/>
        </w:rPr>
        <w:t xml:space="preserve">. </w:t>
      </w:r>
      <w:hyperlink r:id="rId11" w:history="1">
        <w:r w:rsidR="00B72D6E" w:rsidRPr="00133B31">
          <w:rPr>
            <w:rStyle w:val="Hyperlink"/>
            <w:sz w:val="22"/>
            <w:szCs w:val="22"/>
          </w:rPr>
          <w:t>Monitoring progress towards universal health coverage at country and global levels: framework, measures and targets</w:t>
        </w:r>
      </w:hyperlink>
      <w:r w:rsidR="00B72D6E" w:rsidRPr="00CB7EFC">
        <w:rPr>
          <w:sz w:val="22"/>
          <w:szCs w:val="22"/>
        </w:rPr>
        <w:t xml:space="preserve">. </w:t>
      </w:r>
      <w:proofErr w:type="gramStart"/>
      <w:r w:rsidR="00B72D6E" w:rsidRPr="00CB7EFC">
        <w:rPr>
          <w:sz w:val="22"/>
          <w:szCs w:val="22"/>
        </w:rPr>
        <w:t>Joint WHO/World Bank paper, May 2014.</w:t>
      </w:r>
      <w:proofErr w:type="gramEnd"/>
      <w:r w:rsidR="00B72D6E" w:rsidRPr="00CB7EFC">
        <w:rPr>
          <w:sz w:val="22"/>
          <w:szCs w:val="22"/>
        </w:rPr>
        <w:t xml:space="preserve"> This paper was written on the basis of consultations and discussions with country representatives, technical experts and global health and development partners, including an online consultation based on a draft paper. </w:t>
      </w:r>
    </w:p>
    <w:p w14:paraId="25C2F589" w14:textId="77777777" w:rsidR="00B72D6E" w:rsidRPr="00CB7EFC" w:rsidRDefault="00B72D6E" w:rsidP="00B72D6E">
      <w:pPr>
        <w:rPr>
          <w:sz w:val="22"/>
          <w:szCs w:val="22"/>
        </w:rPr>
      </w:pPr>
    </w:p>
    <w:p w14:paraId="43523DE5" w14:textId="50C52191" w:rsidR="00B72D6E" w:rsidRDefault="001B439B" w:rsidP="00B72D6E">
      <w:pPr>
        <w:rPr>
          <w:sz w:val="22"/>
          <w:szCs w:val="22"/>
        </w:rPr>
      </w:pPr>
      <w:r>
        <w:rPr>
          <w:sz w:val="22"/>
          <w:szCs w:val="22"/>
        </w:rPr>
        <w:t>5</w:t>
      </w:r>
      <w:r w:rsidR="00B72D6E" w:rsidRPr="00CB7EFC">
        <w:rPr>
          <w:sz w:val="22"/>
          <w:szCs w:val="22"/>
        </w:rPr>
        <w:t xml:space="preserve">. </w:t>
      </w:r>
      <w:hyperlink r:id="rId12" w:history="1">
        <w:r w:rsidR="00B72D6E" w:rsidRPr="00133B31">
          <w:rPr>
            <w:rStyle w:val="Hyperlink"/>
            <w:sz w:val="22"/>
            <w:szCs w:val="22"/>
          </w:rPr>
          <w:t>PLOS Medicine series</w:t>
        </w:r>
      </w:hyperlink>
      <w:r w:rsidR="00B72D6E" w:rsidRPr="00CB7EFC">
        <w:rPr>
          <w:sz w:val="22"/>
          <w:szCs w:val="22"/>
        </w:rPr>
        <w:t>, including following article written by WHO and World Bank staff: Monitoring progress towards universal health care coverage at country and global levels</w:t>
      </w:r>
      <w:r w:rsidR="00133B31">
        <w:rPr>
          <w:sz w:val="22"/>
          <w:szCs w:val="22"/>
        </w:rPr>
        <w:t xml:space="preserve">. </w:t>
      </w:r>
    </w:p>
    <w:p w14:paraId="3C570A3D" w14:textId="77777777" w:rsidR="00B72D6E" w:rsidRPr="00CB7EFC" w:rsidRDefault="00B72D6E" w:rsidP="00B72D6E">
      <w:pPr>
        <w:rPr>
          <w:sz w:val="22"/>
          <w:szCs w:val="22"/>
        </w:rPr>
      </w:pPr>
    </w:p>
    <w:p w14:paraId="451D4BB7" w14:textId="29F1FBF7" w:rsidR="00B72D6E" w:rsidRPr="00B72D6E" w:rsidRDefault="001B439B" w:rsidP="00B72D6E">
      <w:pPr>
        <w:rPr>
          <w:sz w:val="22"/>
          <w:szCs w:val="22"/>
        </w:rPr>
      </w:pPr>
      <w:r>
        <w:rPr>
          <w:sz w:val="22"/>
          <w:szCs w:val="22"/>
        </w:rPr>
        <w:t>6</w:t>
      </w:r>
      <w:r w:rsidR="00B72D6E">
        <w:rPr>
          <w:sz w:val="22"/>
          <w:szCs w:val="22"/>
        </w:rPr>
        <w:t xml:space="preserve">. WHO’s </w:t>
      </w:r>
      <w:hyperlink r:id="rId13" w:history="1">
        <w:r w:rsidR="00B72D6E" w:rsidRPr="00133B31">
          <w:rPr>
            <w:rStyle w:val="Hyperlink"/>
            <w:sz w:val="22"/>
            <w:szCs w:val="22"/>
          </w:rPr>
          <w:t>World Health Statistics 2016</w:t>
        </w:r>
      </w:hyperlink>
      <w:r w:rsidR="00B72D6E">
        <w:rPr>
          <w:sz w:val="22"/>
          <w:szCs w:val="22"/>
        </w:rPr>
        <w:t xml:space="preserve"> and </w:t>
      </w:r>
      <w:hyperlink r:id="rId14" w:history="1">
        <w:r w:rsidR="00B72D6E" w:rsidRPr="00133B31">
          <w:rPr>
            <w:rStyle w:val="Hyperlink"/>
            <w:sz w:val="22"/>
            <w:szCs w:val="22"/>
          </w:rPr>
          <w:t>World Health Statistics 2017</w:t>
        </w:r>
      </w:hyperlink>
      <w:r w:rsidR="00B72D6E">
        <w:rPr>
          <w:sz w:val="22"/>
          <w:szCs w:val="22"/>
        </w:rPr>
        <w:t xml:space="preserve">: the WHS 2016 report included regional results for an earlier iteration of the index as well as an assessment of country data availability, and the WHS 2017 presented the final </w:t>
      </w:r>
      <w:r w:rsidR="006B2379">
        <w:rPr>
          <w:sz w:val="22"/>
          <w:szCs w:val="22"/>
        </w:rPr>
        <w:t xml:space="preserve">proposed </w:t>
      </w:r>
      <w:r w:rsidR="00B72D6E">
        <w:rPr>
          <w:sz w:val="22"/>
          <w:szCs w:val="22"/>
        </w:rPr>
        <w:t>set of tracer indicators for the index along with their data availability.</w:t>
      </w:r>
    </w:p>
    <w:p w14:paraId="706522AF" w14:textId="77777777" w:rsidR="00B72D6E" w:rsidRDefault="00B72D6E" w:rsidP="007747D7">
      <w:pPr>
        <w:rPr>
          <w:b/>
          <w:sz w:val="22"/>
          <w:szCs w:val="22"/>
        </w:rPr>
      </w:pPr>
    </w:p>
    <w:p w14:paraId="49F0FB8C" w14:textId="1C2DA3A4" w:rsidR="00083991" w:rsidRPr="00083991" w:rsidRDefault="00083991" w:rsidP="007747D7">
      <w:pPr>
        <w:rPr>
          <w:sz w:val="22"/>
          <w:szCs w:val="22"/>
        </w:rPr>
      </w:pPr>
      <w:r>
        <w:rPr>
          <w:sz w:val="22"/>
          <w:szCs w:val="22"/>
        </w:rPr>
        <w:t xml:space="preserve">A full description of the proposed methodology can be found in </w:t>
      </w:r>
      <w:r w:rsidR="005A205A">
        <w:rPr>
          <w:sz w:val="22"/>
          <w:szCs w:val="22"/>
        </w:rPr>
        <w:t xml:space="preserve">the </w:t>
      </w:r>
      <w:r>
        <w:rPr>
          <w:sz w:val="22"/>
          <w:szCs w:val="22"/>
        </w:rPr>
        <w:t>accompanying draft metadata document.</w:t>
      </w:r>
    </w:p>
    <w:p w14:paraId="5C3957B7" w14:textId="77777777" w:rsidR="005A205A" w:rsidRDefault="005A205A" w:rsidP="007747D7">
      <w:pPr>
        <w:rPr>
          <w:b/>
          <w:sz w:val="22"/>
          <w:szCs w:val="22"/>
        </w:rPr>
      </w:pPr>
    </w:p>
    <w:p w14:paraId="303D5CCA" w14:textId="3D30A436" w:rsidR="007747D7" w:rsidRPr="00B17849" w:rsidRDefault="00B72D6E" w:rsidP="007747D7">
      <w:pPr>
        <w:rPr>
          <w:b/>
          <w:sz w:val="22"/>
          <w:szCs w:val="22"/>
        </w:rPr>
      </w:pPr>
      <w:r>
        <w:rPr>
          <w:b/>
          <w:sz w:val="22"/>
          <w:szCs w:val="22"/>
        </w:rPr>
        <w:t>Summary of consultations</w:t>
      </w:r>
    </w:p>
    <w:p w14:paraId="3D1D8FDE" w14:textId="77777777" w:rsidR="007747D7" w:rsidRPr="00B17849" w:rsidRDefault="007747D7" w:rsidP="007747D7">
      <w:pPr>
        <w:rPr>
          <w:b/>
          <w:sz w:val="22"/>
          <w:szCs w:val="22"/>
        </w:rPr>
      </w:pPr>
    </w:p>
    <w:p w14:paraId="3225135D" w14:textId="3FBD8ECE" w:rsidR="007747D7" w:rsidRPr="00CB7EFC" w:rsidRDefault="007747D7" w:rsidP="001B439B">
      <w:pPr>
        <w:rPr>
          <w:sz w:val="22"/>
          <w:szCs w:val="22"/>
        </w:rPr>
      </w:pPr>
      <w:r w:rsidRPr="00CB7EFC">
        <w:rPr>
          <w:sz w:val="22"/>
          <w:szCs w:val="22"/>
        </w:rPr>
        <w:t xml:space="preserve">Starting in 2012, the World Health Organization and World Bank have led a consultative process to arrive at the proposed indicator for 3.8.1, which is an index of </w:t>
      </w:r>
      <w:r w:rsidR="004B7EF5">
        <w:rPr>
          <w:sz w:val="22"/>
          <w:szCs w:val="22"/>
        </w:rPr>
        <w:t xml:space="preserve">the </w:t>
      </w:r>
      <w:r w:rsidRPr="00CB7EFC">
        <w:rPr>
          <w:sz w:val="22"/>
          <w:szCs w:val="22"/>
        </w:rPr>
        <w:t xml:space="preserve">coverage </w:t>
      </w:r>
      <w:r w:rsidR="004B7EF5">
        <w:rPr>
          <w:sz w:val="22"/>
          <w:szCs w:val="22"/>
        </w:rPr>
        <w:t>of e</w:t>
      </w:r>
      <w:r w:rsidR="0024356C">
        <w:rPr>
          <w:sz w:val="22"/>
          <w:szCs w:val="22"/>
        </w:rPr>
        <w:t>ssential health services. T</w:t>
      </w:r>
      <w:r w:rsidRPr="00CB7EFC">
        <w:rPr>
          <w:sz w:val="22"/>
          <w:szCs w:val="22"/>
        </w:rPr>
        <w:t xml:space="preserve">his </w:t>
      </w:r>
      <w:r w:rsidRPr="00CB7EFC">
        <w:rPr>
          <w:sz w:val="22"/>
          <w:szCs w:val="22"/>
        </w:rPr>
        <w:lastRenderedPageBreak/>
        <w:t>process included</w:t>
      </w:r>
      <w:r w:rsidR="0024356C">
        <w:rPr>
          <w:sz w:val="22"/>
          <w:szCs w:val="22"/>
        </w:rPr>
        <w:t>:</w:t>
      </w:r>
      <w:r w:rsidRPr="00CB7EFC">
        <w:rPr>
          <w:sz w:val="22"/>
          <w:szCs w:val="22"/>
        </w:rPr>
        <w:t xml:space="preserve"> five technical meetings with broad participation from country governments, academics, civil society organizations and UN agencies</w:t>
      </w:r>
      <w:r w:rsidR="0024356C">
        <w:rPr>
          <w:sz w:val="22"/>
          <w:szCs w:val="22"/>
        </w:rPr>
        <w:t>;</w:t>
      </w:r>
      <w:r w:rsidR="004B7EF5">
        <w:rPr>
          <w:sz w:val="22"/>
          <w:szCs w:val="22"/>
        </w:rPr>
        <w:t xml:space="preserve"> </w:t>
      </w:r>
      <w:r w:rsidR="00EB227D">
        <w:rPr>
          <w:sz w:val="22"/>
          <w:szCs w:val="22"/>
        </w:rPr>
        <w:t>incorporating feedback received during</w:t>
      </w:r>
      <w:r w:rsidR="0024356C">
        <w:rPr>
          <w:sz w:val="22"/>
          <w:szCs w:val="22"/>
        </w:rPr>
        <w:t xml:space="preserve"> two previous SDG-IAEG meetings;</w:t>
      </w:r>
      <w:r w:rsidR="00EB227D">
        <w:rPr>
          <w:sz w:val="22"/>
          <w:szCs w:val="22"/>
        </w:rPr>
        <w:t xml:space="preserve"> </w:t>
      </w:r>
      <w:r w:rsidR="004B7EF5">
        <w:rPr>
          <w:sz w:val="22"/>
          <w:szCs w:val="22"/>
        </w:rPr>
        <w:t>and a recent country consultation with 13</w:t>
      </w:r>
      <w:r w:rsidR="00464142">
        <w:rPr>
          <w:sz w:val="22"/>
          <w:szCs w:val="22"/>
        </w:rPr>
        <w:t>1</w:t>
      </w:r>
      <w:r w:rsidR="004B7EF5">
        <w:rPr>
          <w:sz w:val="22"/>
          <w:szCs w:val="22"/>
        </w:rPr>
        <w:t xml:space="preserve"> participating Member States</w:t>
      </w:r>
      <w:r w:rsidRPr="00CB7EFC">
        <w:rPr>
          <w:sz w:val="22"/>
          <w:szCs w:val="22"/>
        </w:rPr>
        <w:t xml:space="preserve">. </w:t>
      </w:r>
      <w:r w:rsidR="001B439B">
        <w:rPr>
          <w:sz w:val="22"/>
          <w:szCs w:val="22"/>
        </w:rPr>
        <w:t>M</w:t>
      </w:r>
      <w:r w:rsidRPr="00CB7EFC">
        <w:rPr>
          <w:sz w:val="22"/>
          <w:szCs w:val="22"/>
        </w:rPr>
        <w:t xml:space="preserve">eeting reports from these five meetings, which document the evolution of the measurement approach and definition </w:t>
      </w:r>
      <w:r w:rsidR="0024356C">
        <w:rPr>
          <w:sz w:val="22"/>
          <w:szCs w:val="22"/>
        </w:rPr>
        <w:t>of the indicator over the past five</w:t>
      </w:r>
      <w:r w:rsidRPr="00CB7EFC">
        <w:rPr>
          <w:sz w:val="22"/>
          <w:szCs w:val="22"/>
        </w:rPr>
        <w:t xml:space="preserve"> years</w:t>
      </w:r>
      <w:r w:rsidR="001B439B">
        <w:rPr>
          <w:sz w:val="22"/>
          <w:szCs w:val="22"/>
        </w:rPr>
        <w:t xml:space="preserve">, are </w:t>
      </w:r>
      <w:hyperlink r:id="rId15" w:history="1">
        <w:r w:rsidR="001B439B" w:rsidRPr="000F737E">
          <w:rPr>
            <w:rStyle w:val="Hyperlink"/>
            <w:sz w:val="22"/>
            <w:szCs w:val="22"/>
          </w:rPr>
          <w:t>here</w:t>
        </w:r>
      </w:hyperlink>
      <w:r w:rsidR="002F062A">
        <w:rPr>
          <w:sz w:val="22"/>
          <w:szCs w:val="22"/>
        </w:rPr>
        <w:t>.</w:t>
      </w:r>
    </w:p>
    <w:p w14:paraId="24C88C80" w14:textId="77777777" w:rsidR="00464142" w:rsidRPr="00464142" w:rsidRDefault="00464142" w:rsidP="007747D7">
      <w:pPr>
        <w:rPr>
          <w:sz w:val="22"/>
          <w:szCs w:val="22"/>
        </w:rPr>
      </w:pPr>
    </w:p>
    <w:p w14:paraId="54FBE849" w14:textId="36EBDA3E" w:rsidR="007747D7" w:rsidRPr="00CB7EFC" w:rsidRDefault="007747D7" w:rsidP="007747D7">
      <w:pPr>
        <w:rPr>
          <w:sz w:val="22"/>
          <w:szCs w:val="22"/>
        </w:rPr>
      </w:pPr>
      <w:r w:rsidRPr="00CB7EFC">
        <w:rPr>
          <w:sz w:val="22"/>
          <w:szCs w:val="22"/>
        </w:rPr>
        <w:t>More details on the five technical meetings, including the institutions and organizations that participated in the discussions, are as follows:</w:t>
      </w:r>
    </w:p>
    <w:p w14:paraId="5F0B101C" w14:textId="77777777" w:rsidR="007747D7" w:rsidRPr="00CB7EFC" w:rsidRDefault="007747D7" w:rsidP="007747D7">
      <w:pPr>
        <w:rPr>
          <w:sz w:val="22"/>
          <w:szCs w:val="22"/>
        </w:rPr>
      </w:pPr>
    </w:p>
    <w:p w14:paraId="4675E8F9" w14:textId="0B5CFE66" w:rsidR="007747D7" w:rsidRPr="00CB7EFC" w:rsidRDefault="007747D7" w:rsidP="007747D7">
      <w:pPr>
        <w:rPr>
          <w:sz w:val="22"/>
          <w:szCs w:val="22"/>
        </w:rPr>
      </w:pPr>
      <w:r w:rsidRPr="00CB7EFC">
        <w:rPr>
          <w:sz w:val="22"/>
          <w:szCs w:val="22"/>
        </w:rPr>
        <w:t xml:space="preserve">1. </w:t>
      </w:r>
      <w:hyperlink r:id="rId16" w:history="1">
        <w:r w:rsidRPr="002F062A">
          <w:rPr>
            <w:rStyle w:val="Hyperlink"/>
            <w:sz w:val="22"/>
            <w:szCs w:val="22"/>
          </w:rPr>
          <w:t>Technical meeting on monitoring universal health coverage</w:t>
        </w:r>
      </w:hyperlink>
      <w:r w:rsidRPr="00CB7EFC">
        <w:rPr>
          <w:sz w:val="22"/>
          <w:szCs w:val="22"/>
        </w:rPr>
        <w:t>, 16-19 November 2015, Rockefeller Centre, Bellagio.</w:t>
      </w:r>
    </w:p>
    <w:p w14:paraId="34777A64" w14:textId="77777777" w:rsidR="007747D7" w:rsidRPr="00CB7EFC" w:rsidRDefault="007747D7" w:rsidP="007747D7">
      <w:pPr>
        <w:rPr>
          <w:sz w:val="22"/>
          <w:szCs w:val="22"/>
        </w:rPr>
      </w:pPr>
    </w:p>
    <w:p w14:paraId="669F1150" w14:textId="77777777" w:rsidR="007747D7" w:rsidRPr="001B439B" w:rsidRDefault="007747D7" w:rsidP="007747D7">
      <w:pPr>
        <w:rPr>
          <w:sz w:val="20"/>
          <w:szCs w:val="20"/>
        </w:rPr>
      </w:pPr>
      <w:r w:rsidRPr="001B439B">
        <w:rPr>
          <w:sz w:val="20"/>
          <w:szCs w:val="20"/>
        </w:rPr>
        <w:t>Participants from: Imperial College London (United Kingdom), Duke NUS Graduate Medical School (Singapore), Harvard Medical School (USA), Johns Hopkins University (USA), International Health Policy Program (Thailand), Erasmus University (Netherlands), Institute for Health Policy (Sri Lanka), JICA (Japan), World Health Organization, World Bank, Rockefeller Foundation, Save the Children</w:t>
      </w:r>
    </w:p>
    <w:p w14:paraId="7F6812BC" w14:textId="77777777" w:rsidR="007747D7" w:rsidRPr="00CB7EFC" w:rsidRDefault="007747D7" w:rsidP="007747D7">
      <w:pPr>
        <w:rPr>
          <w:sz w:val="22"/>
          <w:szCs w:val="22"/>
        </w:rPr>
      </w:pPr>
    </w:p>
    <w:p w14:paraId="56A3ACFB" w14:textId="334E1549" w:rsidR="007747D7" w:rsidRPr="00CB7EFC" w:rsidRDefault="007747D7" w:rsidP="007747D7">
      <w:pPr>
        <w:rPr>
          <w:sz w:val="22"/>
          <w:szCs w:val="22"/>
        </w:rPr>
      </w:pPr>
      <w:r w:rsidRPr="00CB7EFC">
        <w:rPr>
          <w:sz w:val="22"/>
          <w:szCs w:val="22"/>
        </w:rPr>
        <w:t xml:space="preserve">2. </w:t>
      </w:r>
      <w:hyperlink r:id="rId17" w:history="1">
        <w:r w:rsidRPr="002F062A">
          <w:rPr>
            <w:rStyle w:val="Hyperlink"/>
            <w:sz w:val="22"/>
            <w:szCs w:val="22"/>
          </w:rPr>
          <w:t>Technical meeting on monitoring universal health coverage</w:t>
        </w:r>
      </w:hyperlink>
      <w:r w:rsidRPr="00CB7EFC">
        <w:rPr>
          <w:sz w:val="22"/>
          <w:szCs w:val="22"/>
        </w:rPr>
        <w:t xml:space="preserve">, 11-13 March 2014, Rockefeller Centre, Bellagio. </w:t>
      </w:r>
    </w:p>
    <w:p w14:paraId="60300E98" w14:textId="77777777" w:rsidR="007747D7" w:rsidRPr="00CB7EFC" w:rsidRDefault="007747D7" w:rsidP="007747D7">
      <w:pPr>
        <w:rPr>
          <w:sz w:val="22"/>
          <w:szCs w:val="22"/>
        </w:rPr>
      </w:pPr>
    </w:p>
    <w:p w14:paraId="2EACCF43" w14:textId="77777777" w:rsidR="007747D7" w:rsidRPr="001B439B" w:rsidRDefault="007747D7" w:rsidP="007747D7">
      <w:pPr>
        <w:rPr>
          <w:sz w:val="20"/>
          <w:szCs w:val="20"/>
        </w:rPr>
      </w:pPr>
      <w:r w:rsidRPr="001B439B">
        <w:rPr>
          <w:sz w:val="20"/>
          <w:szCs w:val="20"/>
        </w:rPr>
        <w:t xml:space="preserve">Participants from:  Universidad de </w:t>
      </w:r>
      <w:proofErr w:type="spellStart"/>
      <w:r w:rsidRPr="001B439B">
        <w:rPr>
          <w:sz w:val="20"/>
          <w:szCs w:val="20"/>
        </w:rPr>
        <w:t>Desarrollo</w:t>
      </w:r>
      <w:proofErr w:type="spellEnd"/>
      <w:r w:rsidRPr="001B439B">
        <w:rPr>
          <w:sz w:val="20"/>
          <w:szCs w:val="20"/>
        </w:rPr>
        <w:t xml:space="preserve"> (Chile), Peking University (China), Ministry of Health (Thailand), </w:t>
      </w:r>
      <w:proofErr w:type="spellStart"/>
      <w:r w:rsidRPr="001B439B">
        <w:rPr>
          <w:sz w:val="20"/>
          <w:szCs w:val="20"/>
        </w:rPr>
        <w:t>Ifakara</w:t>
      </w:r>
      <w:proofErr w:type="spellEnd"/>
      <w:r w:rsidRPr="001B439B">
        <w:rPr>
          <w:sz w:val="20"/>
          <w:szCs w:val="20"/>
        </w:rPr>
        <w:t xml:space="preserve"> Health Institute (Tanzania), Erasmus University (Netherlands), International Centre for Diarrhoeal Disease Research (Bangladesh), Federal University of Bahia (Brazil), Human Sciences Research Council (South Africa), Institute for Health Metrics and Evaluation (USA), Tunis El </w:t>
      </w:r>
      <w:proofErr w:type="spellStart"/>
      <w:r w:rsidRPr="001B439B">
        <w:rPr>
          <w:sz w:val="20"/>
          <w:szCs w:val="20"/>
        </w:rPr>
        <w:t>Manar</w:t>
      </w:r>
      <w:proofErr w:type="spellEnd"/>
      <w:r w:rsidRPr="001B439B">
        <w:rPr>
          <w:sz w:val="20"/>
          <w:szCs w:val="20"/>
        </w:rPr>
        <w:t xml:space="preserve"> University (Tunisia), JICA (Japan), USAID (USA), Rockefeller Foundation, Macro , OECD,  World Health Organization, World Bank</w:t>
      </w:r>
    </w:p>
    <w:p w14:paraId="3698025A" w14:textId="77777777" w:rsidR="007747D7" w:rsidRPr="00CB7EFC" w:rsidRDefault="007747D7" w:rsidP="007747D7">
      <w:pPr>
        <w:rPr>
          <w:sz w:val="22"/>
          <w:szCs w:val="22"/>
        </w:rPr>
      </w:pPr>
    </w:p>
    <w:p w14:paraId="009EF557" w14:textId="55934D89" w:rsidR="007747D7" w:rsidRPr="00CB7EFC" w:rsidRDefault="007747D7" w:rsidP="007747D7">
      <w:pPr>
        <w:rPr>
          <w:sz w:val="22"/>
          <w:szCs w:val="22"/>
        </w:rPr>
      </w:pPr>
      <w:r w:rsidRPr="00CB7EFC">
        <w:rPr>
          <w:sz w:val="22"/>
          <w:szCs w:val="22"/>
        </w:rPr>
        <w:t xml:space="preserve">3. </w:t>
      </w:r>
      <w:hyperlink r:id="rId18" w:history="1">
        <w:r w:rsidRPr="002F062A">
          <w:rPr>
            <w:rStyle w:val="Hyperlink"/>
            <w:sz w:val="22"/>
            <w:szCs w:val="22"/>
          </w:rPr>
          <w:t>Monitoring progress towards universal health coverage: A consultation with civil society partners</w:t>
        </w:r>
      </w:hyperlink>
      <w:r w:rsidRPr="00CB7EFC">
        <w:rPr>
          <w:sz w:val="22"/>
          <w:szCs w:val="22"/>
        </w:rPr>
        <w:t xml:space="preserve">, 21 January </w:t>
      </w:r>
      <w:proofErr w:type="gramStart"/>
      <w:r w:rsidRPr="00CB7EFC">
        <w:rPr>
          <w:sz w:val="22"/>
          <w:szCs w:val="22"/>
        </w:rPr>
        <w:t>2014 .</w:t>
      </w:r>
      <w:proofErr w:type="gramEnd"/>
      <w:r w:rsidRPr="00CB7EFC">
        <w:rPr>
          <w:sz w:val="22"/>
          <w:szCs w:val="22"/>
        </w:rPr>
        <w:t xml:space="preserve"> </w:t>
      </w:r>
    </w:p>
    <w:p w14:paraId="6D36B862" w14:textId="77777777" w:rsidR="007747D7" w:rsidRPr="00CB7EFC" w:rsidRDefault="007747D7" w:rsidP="007747D7">
      <w:pPr>
        <w:rPr>
          <w:sz w:val="22"/>
          <w:szCs w:val="22"/>
        </w:rPr>
      </w:pPr>
    </w:p>
    <w:p w14:paraId="674C8721" w14:textId="0F126D92" w:rsidR="007747D7" w:rsidRPr="00CB7EFC" w:rsidRDefault="007747D7" w:rsidP="007747D7">
      <w:pPr>
        <w:rPr>
          <w:sz w:val="22"/>
          <w:szCs w:val="22"/>
        </w:rPr>
      </w:pPr>
      <w:r w:rsidRPr="00CB7EFC">
        <w:rPr>
          <w:sz w:val="22"/>
          <w:szCs w:val="22"/>
        </w:rPr>
        <w:t>Participants</w:t>
      </w:r>
      <w:r w:rsidR="00133B31">
        <w:rPr>
          <w:sz w:val="22"/>
          <w:szCs w:val="22"/>
        </w:rPr>
        <w:t>:</w:t>
      </w:r>
      <w:r w:rsidRPr="00CB7EFC">
        <w:rPr>
          <w:sz w:val="22"/>
          <w:szCs w:val="22"/>
        </w:rPr>
        <w:t xml:space="preserve"> numerous civil society organizations.</w:t>
      </w:r>
    </w:p>
    <w:p w14:paraId="7DE8E835" w14:textId="77777777" w:rsidR="007747D7" w:rsidRPr="00CB7EFC" w:rsidRDefault="007747D7" w:rsidP="007747D7">
      <w:pPr>
        <w:rPr>
          <w:sz w:val="22"/>
          <w:szCs w:val="22"/>
        </w:rPr>
      </w:pPr>
    </w:p>
    <w:p w14:paraId="6B2136AE" w14:textId="5A1D83B2" w:rsidR="007747D7" w:rsidRPr="00CB7EFC" w:rsidRDefault="007747D7" w:rsidP="007747D7">
      <w:pPr>
        <w:rPr>
          <w:sz w:val="22"/>
          <w:szCs w:val="22"/>
        </w:rPr>
      </w:pPr>
      <w:r w:rsidRPr="00CB7EFC">
        <w:rPr>
          <w:sz w:val="22"/>
          <w:szCs w:val="22"/>
        </w:rPr>
        <w:t xml:space="preserve">4. </w:t>
      </w:r>
      <w:hyperlink r:id="rId19" w:history="1">
        <w:r w:rsidRPr="002F062A">
          <w:rPr>
            <w:rStyle w:val="Hyperlink"/>
            <w:sz w:val="22"/>
            <w:szCs w:val="22"/>
          </w:rPr>
          <w:t>Technical meeting on measurement and monitoring of universal health coverage</w:t>
        </w:r>
      </w:hyperlink>
      <w:r w:rsidRPr="00CB7EFC">
        <w:rPr>
          <w:sz w:val="22"/>
          <w:szCs w:val="22"/>
        </w:rPr>
        <w:t xml:space="preserve">, 17-18 September 2013, Singapore. </w:t>
      </w:r>
    </w:p>
    <w:p w14:paraId="743BB41C" w14:textId="77777777" w:rsidR="007747D7" w:rsidRPr="00CB7EFC" w:rsidRDefault="007747D7" w:rsidP="007747D7">
      <w:pPr>
        <w:rPr>
          <w:sz w:val="22"/>
          <w:szCs w:val="22"/>
        </w:rPr>
      </w:pPr>
    </w:p>
    <w:p w14:paraId="31797C9A" w14:textId="77777777" w:rsidR="007747D7" w:rsidRPr="001B439B" w:rsidRDefault="007747D7" w:rsidP="007747D7">
      <w:pPr>
        <w:rPr>
          <w:sz w:val="20"/>
          <w:szCs w:val="20"/>
        </w:rPr>
      </w:pPr>
      <w:r w:rsidRPr="001B439B">
        <w:rPr>
          <w:sz w:val="20"/>
          <w:szCs w:val="20"/>
        </w:rPr>
        <w:t xml:space="preserve">Participants from: </w:t>
      </w:r>
      <w:proofErr w:type="spellStart"/>
      <w:r w:rsidRPr="001B439B">
        <w:rPr>
          <w:sz w:val="20"/>
          <w:szCs w:val="20"/>
        </w:rPr>
        <w:t>Center</w:t>
      </w:r>
      <w:proofErr w:type="spellEnd"/>
      <w:r w:rsidRPr="001B439B">
        <w:rPr>
          <w:sz w:val="20"/>
          <w:szCs w:val="20"/>
        </w:rPr>
        <w:t xml:space="preserve"> for Child and Adolescent Health (Bangladesh), International Centre for Diarrhoeal Disease Research (Bangladesh), </w:t>
      </w:r>
      <w:proofErr w:type="spellStart"/>
      <w:r w:rsidRPr="001B439B">
        <w:rPr>
          <w:sz w:val="20"/>
          <w:szCs w:val="20"/>
        </w:rPr>
        <w:t>Instituto</w:t>
      </w:r>
      <w:proofErr w:type="spellEnd"/>
      <w:r w:rsidRPr="001B439B">
        <w:rPr>
          <w:sz w:val="20"/>
          <w:szCs w:val="20"/>
        </w:rPr>
        <w:t xml:space="preserve"> de </w:t>
      </w:r>
      <w:proofErr w:type="spellStart"/>
      <w:r w:rsidRPr="001B439B">
        <w:rPr>
          <w:sz w:val="20"/>
          <w:szCs w:val="20"/>
        </w:rPr>
        <w:t>Saude</w:t>
      </w:r>
      <w:proofErr w:type="spellEnd"/>
      <w:r w:rsidRPr="001B439B">
        <w:rPr>
          <w:sz w:val="20"/>
          <w:szCs w:val="20"/>
        </w:rPr>
        <w:t xml:space="preserve"> </w:t>
      </w:r>
      <w:proofErr w:type="spellStart"/>
      <w:r w:rsidRPr="001B439B">
        <w:rPr>
          <w:sz w:val="20"/>
          <w:szCs w:val="20"/>
        </w:rPr>
        <w:t>Coletiva</w:t>
      </w:r>
      <w:proofErr w:type="spellEnd"/>
      <w:r w:rsidRPr="001B439B">
        <w:rPr>
          <w:sz w:val="20"/>
          <w:szCs w:val="20"/>
        </w:rPr>
        <w:t xml:space="preserve">, Federal University of Bahia (Brazil), Universidad del </w:t>
      </w:r>
      <w:proofErr w:type="spellStart"/>
      <w:r w:rsidRPr="001B439B">
        <w:rPr>
          <w:sz w:val="20"/>
          <w:szCs w:val="20"/>
        </w:rPr>
        <w:t>Desarrollo</w:t>
      </w:r>
      <w:proofErr w:type="spellEnd"/>
      <w:r w:rsidRPr="001B439B">
        <w:rPr>
          <w:sz w:val="20"/>
          <w:szCs w:val="20"/>
        </w:rPr>
        <w:t xml:space="preserve"> (Chile), Ministry of Social Development (Chile), Peking University (China), State Health and Family Planning Commission (China), Ministry of Social Affairs (Estonia), National Institute for Health Development (Estonia), Health Streams International (Ghana), Ghana Health Service (Ghana), Institute of Public Health Bangalore (India), Tata Institute of Social Sciences Mumbai (India), Public Health Foundation of India (India), Institute for Family Welfare/Ministry of Health (India), Ministry of Health (Peru), Ministry of Health (Singapore), Duke NUS Graduate Medical School (Singapore), National University of Singapore (Singapore), University of Cape Town (South Africa), </w:t>
      </w:r>
      <w:proofErr w:type="spellStart"/>
      <w:r w:rsidRPr="001B439B">
        <w:rPr>
          <w:sz w:val="20"/>
          <w:szCs w:val="20"/>
        </w:rPr>
        <w:t>Ifakara</w:t>
      </w:r>
      <w:proofErr w:type="spellEnd"/>
      <w:r w:rsidRPr="001B439B">
        <w:rPr>
          <w:sz w:val="20"/>
          <w:szCs w:val="20"/>
        </w:rPr>
        <w:t xml:space="preserve"> Health Institute (Tanzania), Ministry of Health (Thailand), Tunis El </w:t>
      </w:r>
      <w:proofErr w:type="spellStart"/>
      <w:r w:rsidRPr="001B439B">
        <w:rPr>
          <w:sz w:val="20"/>
          <w:szCs w:val="20"/>
        </w:rPr>
        <w:t>Manar</w:t>
      </w:r>
      <w:proofErr w:type="spellEnd"/>
      <w:r w:rsidRPr="001B439B">
        <w:rPr>
          <w:sz w:val="20"/>
          <w:szCs w:val="20"/>
        </w:rPr>
        <w:t xml:space="preserve"> University (Tunisia), University of Carthage (Tunisia), Health Strategy and Policy Institute (Viet Nam), USAID (USA), GIZ (Germany), </w:t>
      </w:r>
      <w:proofErr w:type="spellStart"/>
      <w:r w:rsidRPr="001B439B">
        <w:rPr>
          <w:sz w:val="20"/>
          <w:szCs w:val="20"/>
        </w:rPr>
        <w:t>Abt</w:t>
      </w:r>
      <w:proofErr w:type="spellEnd"/>
      <w:r w:rsidRPr="001B439B">
        <w:rPr>
          <w:sz w:val="20"/>
          <w:szCs w:val="20"/>
        </w:rPr>
        <w:t xml:space="preserve"> Associates,  World Health Organization, World Bank, and Rockefeller Foundation.</w:t>
      </w:r>
    </w:p>
    <w:p w14:paraId="1CADDF1D" w14:textId="77777777" w:rsidR="007747D7" w:rsidRPr="00CB7EFC" w:rsidRDefault="007747D7" w:rsidP="007747D7">
      <w:pPr>
        <w:rPr>
          <w:sz w:val="22"/>
          <w:szCs w:val="22"/>
        </w:rPr>
      </w:pPr>
    </w:p>
    <w:p w14:paraId="555513BB" w14:textId="395223F3" w:rsidR="007747D7" w:rsidRPr="00CB7EFC" w:rsidRDefault="007747D7" w:rsidP="007747D7">
      <w:pPr>
        <w:rPr>
          <w:sz w:val="22"/>
          <w:szCs w:val="22"/>
        </w:rPr>
      </w:pPr>
      <w:r w:rsidRPr="00CB7EFC">
        <w:rPr>
          <w:sz w:val="22"/>
          <w:szCs w:val="22"/>
        </w:rPr>
        <w:t xml:space="preserve">5. </w:t>
      </w:r>
      <w:hyperlink r:id="rId20" w:history="1">
        <w:r w:rsidRPr="002F062A">
          <w:rPr>
            <w:rStyle w:val="Hyperlink"/>
            <w:sz w:val="22"/>
            <w:szCs w:val="22"/>
          </w:rPr>
          <w:t>Technical meeting on measurement of trends and equity in coverage of health interventions in the context of universal health coverage</w:t>
        </w:r>
      </w:hyperlink>
      <w:r w:rsidRPr="00CB7EFC">
        <w:rPr>
          <w:sz w:val="22"/>
          <w:szCs w:val="22"/>
        </w:rPr>
        <w:t xml:space="preserve">, Rockefeller Foundation </w:t>
      </w:r>
      <w:proofErr w:type="spellStart"/>
      <w:r w:rsidRPr="00CB7EFC">
        <w:rPr>
          <w:sz w:val="22"/>
          <w:szCs w:val="22"/>
        </w:rPr>
        <w:t>Center</w:t>
      </w:r>
      <w:proofErr w:type="spellEnd"/>
      <w:r w:rsidRPr="00CB7EFC">
        <w:rPr>
          <w:sz w:val="22"/>
          <w:szCs w:val="22"/>
        </w:rPr>
        <w:t>, Bellagio, 17-21 September 2012.</w:t>
      </w:r>
    </w:p>
    <w:p w14:paraId="3BE2CF9D" w14:textId="77777777" w:rsidR="007747D7" w:rsidRPr="00CB7EFC" w:rsidRDefault="007747D7" w:rsidP="007747D7">
      <w:pPr>
        <w:rPr>
          <w:sz w:val="22"/>
          <w:szCs w:val="22"/>
        </w:rPr>
      </w:pPr>
    </w:p>
    <w:p w14:paraId="07439C58" w14:textId="23A561FF" w:rsidR="007747D7" w:rsidRPr="001B439B" w:rsidRDefault="007747D7" w:rsidP="007747D7">
      <w:pPr>
        <w:rPr>
          <w:sz w:val="20"/>
          <w:szCs w:val="20"/>
        </w:rPr>
      </w:pPr>
      <w:r w:rsidRPr="001B439B">
        <w:rPr>
          <w:sz w:val="20"/>
          <w:szCs w:val="20"/>
        </w:rPr>
        <w:t xml:space="preserve">Participants from: Ghana Medical School (Ghana), University of Ghana (Ghana), University of Oxford (United Kingdom), Federal University of Bahia (Brazil), University of Pelotas (Brazil), Johns Hopkins University (USA), Health Systems Trust (South Africa), International Centre for Diarrhoeal Disease Research (Bangladesh), BRAC </w:t>
      </w:r>
      <w:r w:rsidRPr="001B439B">
        <w:rPr>
          <w:sz w:val="20"/>
          <w:szCs w:val="20"/>
        </w:rPr>
        <w:lastRenderedPageBreak/>
        <w:t xml:space="preserve">University (Bangladesh), University </w:t>
      </w:r>
      <w:proofErr w:type="spellStart"/>
      <w:r w:rsidRPr="001B439B">
        <w:rPr>
          <w:sz w:val="20"/>
          <w:szCs w:val="20"/>
        </w:rPr>
        <w:t>Icesi</w:t>
      </w:r>
      <w:proofErr w:type="spellEnd"/>
      <w:r w:rsidRPr="001B439B">
        <w:rPr>
          <w:sz w:val="20"/>
          <w:szCs w:val="20"/>
        </w:rPr>
        <w:t xml:space="preserve"> (Colombia), University of Cape Town (South Africa), USAID (USA), World Health </w:t>
      </w:r>
      <w:r w:rsidR="00712E28" w:rsidRPr="001B439B">
        <w:rPr>
          <w:sz w:val="20"/>
          <w:szCs w:val="20"/>
        </w:rPr>
        <w:t>Organization, ICF International</w:t>
      </w:r>
    </w:p>
    <w:p w14:paraId="47D19B6F" w14:textId="77777777" w:rsidR="007747D7" w:rsidRPr="00B17849" w:rsidRDefault="007747D7" w:rsidP="007747D7">
      <w:pPr>
        <w:rPr>
          <w:b/>
          <w:sz w:val="22"/>
          <w:szCs w:val="22"/>
        </w:rPr>
      </w:pPr>
    </w:p>
    <w:p w14:paraId="765586DC" w14:textId="464DF8E3" w:rsidR="00083991" w:rsidRDefault="00083991" w:rsidP="00083991">
      <w:pPr>
        <w:rPr>
          <w:sz w:val="22"/>
          <w:szCs w:val="22"/>
        </w:rPr>
      </w:pPr>
      <w:r w:rsidRPr="006F757B">
        <w:rPr>
          <w:sz w:val="22"/>
          <w:szCs w:val="22"/>
        </w:rPr>
        <w:t xml:space="preserve">In addition to </w:t>
      </w:r>
      <w:r>
        <w:rPr>
          <w:sz w:val="22"/>
          <w:szCs w:val="22"/>
        </w:rPr>
        <w:t xml:space="preserve">the involvement of government representatives in the above meetings, WHO conducted a formal country consultation on the proposed index of essential health services for 3.8.1, including country level values for the index, in the first half of 2017. The process of this consultation followed the </w:t>
      </w:r>
      <w:r w:rsidR="00783F19">
        <w:rPr>
          <w:sz w:val="22"/>
          <w:szCs w:val="22"/>
        </w:rPr>
        <w:t xml:space="preserve">guidance in </w:t>
      </w:r>
      <w:r>
        <w:rPr>
          <w:sz w:val="22"/>
          <w:szCs w:val="22"/>
        </w:rPr>
        <w:t>WHO Executive Board resolution EB107.R8, and involved WHO sending circular letters to Member State governments asking them to nominate a focal point for consultation on the indicator. We then shared the methodology, data sources, and draft country data values for the service coverage index with the nominated focal point and requested their review and comment. We had 131 countries participate in the consultation and the feedback was positive. During the WHO country consultation in 2017 on this indicator, 131 countries nominated national focal points to review the metadata and country data, as follows (organized by WHO region):</w:t>
      </w:r>
    </w:p>
    <w:p w14:paraId="4A239C29" w14:textId="77777777" w:rsidR="00083991" w:rsidRPr="00464142" w:rsidRDefault="00083991" w:rsidP="00083991">
      <w:pPr>
        <w:rPr>
          <w:sz w:val="22"/>
          <w:szCs w:val="22"/>
        </w:rPr>
      </w:pPr>
    </w:p>
    <w:p w14:paraId="532A9C7F" w14:textId="77777777" w:rsidR="00083991" w:rsidRPr="001B439B" w:rsidRDefault="00083991" w:rsidP="00083991">
      <w:pPr>
        <w:rPr>
          <w:sz w:val="20"/>
          <w:szCs w:val="20"/>
        </w:rPr>
      </w:pPr>
      <w:r w:rsidRPr="001B439B">
        <w:rPr>
          <w:sz w:val="20"/>
          <w:szCs w:val="20"/>
          <w:u w:val="single"/>
        </w:rPr>
        <w:t>African Region</w:t>
      </w:r>
      <w:r w:rsidRPr="001B439B">
        <w:rPr>
          <w:sz w:val="20"/>
          <w:szCs w:val="20"/>
        </w:rPr>
        <w:t xml:space="preserve">: Burundi, Benin, Burkina Faso, Botswana, Cote d'Ivoire, Cameroon, Democratic Republic of the Congo, Comoros, Cabo Verde, Algeria, Ethiopia, Gabon, Ghana, The Gambia, Kenya, Liberia, Lesotho, Madagascar, </w:t>
      </w:r>
      <w:r w:rsidRPr="001B439B">
        <w:rPr>
          <w:sz w:val="20"/>
          <w:szCs w:val="20"/>
          <w:lang w:val="en-US"/>
        </w:rPr>
        <w:t xml:space="preserve">Mali, Mozambique, Mauritania, Mauritius, Malawi, </w:t>
      </w:r>
      <w:proofErr w:type="spellStart"/>
      <w:r w:rsidRPr="001B439B">
        <w:rPr>
          <w:sz w:val="20"/>
          <w:szCs w:val="20"/>
          <w:lang w:val="fr-CH"/>
        </w:rPr>
        <w:t>Namibia</w:t>
      </w:r>
      <w:proofErr w:type="spellEnd"/>
      <w:r w:rsidRPr="001B439B">
        <w:rPr>
          <w:sz w:val="20"/>
          <w:szCs w:val="20"/>
          <w:lang w:val="en-US"/>
        </w:rPr>
        <w:t xml:space="preserve">, </w:t>
      </w:r>
      <w:r w:rsidRPr="001B439B">
        <w:rPr>
          <w:sz w:val="20"/>
          <w:szCs w:val="20"/>
          <w:lang w:val="fr-CH"/>
        </w:rPr>
        <w:t>Niger</w:t>
      </w:r>
      <w:r w:rsidRPr="001B439B">
        <w:rPr>
          <w:sz w:val="20"/>
          <w:szCs w:val="20"/>
          <w:lang w:val="en-US"/>
        </w:rPr>
        <w:t xml:space="preserve">, </w:t>
      </w:r>
      <w:r w:rsidRPr="001B439B">
        <w:rPr>
          <w:sz w:val="20"/>
          <w:szCs w:val="20"/>
          <w:lang w:val="fr-CH"/>
        </w:rPr>
        <w:t>Nigeria</w:t>
      </w:r>
      <w:r w:rsidRPr="001B439B">
        <w:rPr>
          <w:sz w:val="20"/>
          <w:szCs w:val="20"/>
          <w:lang w:val="en-US"/>
        </w:rPr>
        <w:t xml:space="preserve">, </w:t>
      </w:r>
      <w:r w:rsidRPr="001B439B">
        <w:rPr>
          <w:sz w:val="20"/>
          <w:szCs w:val="20"/>
          <w:lang w:val="fr-CH"/>
        </w:rPr>
        <w:t>Rwanda</w:t>
      </w:r>
      <w:r w:rsidRPr="001B439B">
        <w:rPr>
          <w:sz w:val="20"/>
          <w:szCs w:val="20"/>
          <w:lang w:val="en-US"/>
        </w:rPr>
        <w:t xml:space="preserve">, </w:t>
      </w:r>
      <w:r w:rsidRPr="001B439B">
        <w:rPr>
          <w:sz w:val="20"/>
          <w:szCs w:val="20"/>
          <w:lang w:val="fr-CH"/>
        </w:rPr>
        <w:t>Sierra Leone</w:t>
      </w:r>
      <w:r w:rsidRPr="001B439B">
        <w:rPr>
          <w:sz w:val="20"/>
          <w:szCs w:val="20"/>
          <w:lang w:val="en-US"/>
        </w:rPr>
        <w:t xml:space="preserve">, </w:t>
      </w:r>
      <w:r w:rsidRPr="001B439B">
        <w:rPr>
          <w:sz w:val="20"/>
          <w:szCs w:val="20"/>
          <w:lang w:val="fr-CH"/>
        </w:rPr>
        <w:t>Swaziland</w:t>
      </w:r>
      <w:r w:rsidRPr="001B439B">
        <w:rPr>
          <w:sz w:val="20"/>
          <w:szCs w:val="20"/>
          <w:lang w:val="en-US"/>
        </w:rPr>
        <w:t xml:space="preserve">, </w:t>
      </w:r>
      <w:r w:rsidRPr="001B439B">
        <w:rPr>
          <w:sz w:val="20"/>
          <w:szCs w:val="20"/>
        </w:rPr>
        <w:t>Seychelles</w:t>
      </w:r>
      <w:r w:rsidRPr="001B439B">
        <w:rPr>
          <w:sz w:val="20"/>
          <w:szCs w:val="20"/>
          <w:lang w:val="en-US"/>
        </w:rPr>
        <w:t xml:space="preserve">, </w:t>
      </w:r>
      <w:r w:rsidRPr="001B439B">
        <w:rPr>
          <w:sz w:val="20"/>
          <w:szCs w:val="20"/>
        </w:rPr>
        <w:t>Chad</w:t>
      </w:r>
      <w:r w:rsidRPr="001B439B">
        <w:rPr>
          <w:sz w:val="20"/>
          <w:szCs w:val="20"/>
          <w:lang w:val="en-US"/>
        </w:rPr>
        <w:t xml:space="preserve">, </w:t>
      </w:r>
      <w:r w:rsidRPr="001B439B">
        <w:rPr>
          <w:sz w:val="20"/>
          <w:szCs w:val="20"/>
        </w:rPr>
        <w:t>Tanzania</w:t>
      </w:r>
      <w:r w:rsidRPr="001B439B">
        <w:rPr>
          <w:sz w:val="20"/>
          <w:szCs w:val="20"/>
          <w:lang w:val="en-US"/>
        </w:rPr>
        <w:t xml:space="preserve">, </w:t>
      </w:r>
      <w:r w:rsidRPr="001B439B">
        <w:rPr>
          <w:sz w:val="20"/>
          <w:szCs w:val="20"/>
        </w:rPr>
        <w:t xml:space="preserve">Uganda, Zambia; </w:t>
      </w:r>
    </w:p>
    <w:p w14:paraId="24C2988B" w14:textId="77777777" w:rsidR="00083991" w:rsidRPr="001B439B" w:rsidRDefault="00083991" w:rsidP="00083991">
      <w:pPr>
        <w:rPr>
          <w:sz w:val="20"/>
          <w:szCs w:val="20"/>
        </w:rPr>
      </w:pPr>
    </w:p>
    <w:p w14:paraId="5862CF42" w14:textId="77777777" w:rsidR="00083991" w:rsidRPr="001B439B" w:rsidRDefault="00083991" w:rsidP="00083991">
      <w:pPr>
        <w:rPr>
          <w:sz w:val="20"/>
          <w:szCs w:val="20"/>
        </w:rPr>
      </w:pPr>
      <w:r w:rsidRPr="001B439B">
        <w:rPr>
          <w:sz w:val="20"/>
          <w:szCs w:val="20"/>
          <w:u w:val="single"/>
          <w:lang w:val="en-US"/>
        </w:rPr>
        <w:t>Region of the Americas</w:t>
      </w:r>
      <w:r w:rsidRPr="001B439B">
        <w:rPr>
          <w:sz w:val="20"/>
          <w:szCs w:val="20"/>
          <w:lang w:val="en-US"/>
        </w:rPr>
        <w:t xml:space="preserve">: </w:t>
      </w:r>
      <w:r w:rsidRPr="001B439B">
        <w:rPr>
          <w:sz w:val="20"/>
          <w:szCs w:val="20"/>
        </w:rPr>
        <w:t xml:space="preserve">Brazil, Barbados, Costa Rica, Ecuador, Honduras, Saint Lucia, Mexico, Peru, Trinidad and Tobago, Uruguay; </w:t>
      </w:r>
    </w:p>
    <w:p w14:paraId="61B5EABF" w14:textId="77777777" w:rsidR="00083991" w:rsidRPr="001B439B" w:rsidRDefault="00083991" w:rsidP="00083991">
      <w:pPr>
        <w:rPr>
          <w:sz w:val="20"/>
          <w:szCs w:val="20"/>
        </w:rPr>
      </w:pPr>
    </w:p>
    <w:p w14:paraId="1AFB7E13" w14:textId="77777777" w:rsidR="00083991" w:rsidRPr="001B439B" w:rsidRDefault="00083991" w:rsidP="00083991">
      <w:pPr>
        <w:rPr>
          <w:sz w:val="20"/>
          <w:szCs w:val="20"/>
        </w:rPr>
      </w:pPr>
      <w:r w:rsidRPr="001B439B">
        <w:rPr>
          <w:sz w:val="20"/>
          <w:szCs w:val="20"/>
          <w:u w:val="single"/>
          <w:lang w:val="en-US"/>
        </w:rPr>
        <w:t>Eastern Mediterranean Region</w:t>
      </w:r>
      <w:r w:rsidRPr="001B439B">
        <w:rPr>
          <w:sz w:val="20"/>
          <w:szCs w:val="20"/>
          <w:lang w:val="en-US"/>
        </w:rPr>
        <w:t xml:space="preserve">: </w:t>
      </w:r>
      <w:r w:rsidRPr="001B439B">
        <w:rPr>
          <w:sz w:val="20"/>
          <w:szCs w:val="20"/>
        </w:rPr>
        <w:t xml:space="preserve">Afghanistan, United Arab Emirates, Bahrain, Djibouti, Egypt, Iran (Islamic Republic of), </w:t>
      </w:r>
      <w:r w:rsidRPr="001B439B">
        <w:rPr>
          <w:sz w:val="20"/>
          <w:szCs w:val="20"/>
          <w:lang w:val="en-US"/>
        </w:rPr>
        <w:t xml:space="preserve">Iraq, Jordan, Kuwait, Lebanon, Libya, Morocco, </w:t>
      </w:r>
      <w:r w:rsidRPr="001B439B">
        <w:rPr>
          <w:sz w:val="20"/>
          <w:szCs w:val="20"/>
        </w:rPr>
        <w:t xml:space="preserve">Oman, Pakistan, Qatar, Saudi Arabia, Somalia, Tunisia, Yemen; </w:t>
      </w:r>
    </w:p>
    <w:p w14:paraId="3D206CD4" w14:textId="77777777" w:rsidR="00083991" w:rsidRPr="001B439B" w:rsidRDefault="00083991" w:rsidP="00083991">
      <w:pPr>
        <w:rPr>
          <w:sz w:val="20"/>
          <w:szCs w:val="20"/>
        </w:rPr>
      </w:pPr>
    </w:p>
    <w:p w14:paraId="1FFBD743" w14:textId="77777777" w:rsidR="00083991" w:rsidRPr="001B439B" w:rsidRDefault="00083991" w:rsidP="00083991">
      <w:pPr>
        <w:rPr>
          <w:sz w:val="20"/>
          <w:szCs w:val="20"/>
        </w:rPr>
      </w:pPr>
      <w:r w:rsidRPr="001B439B">
        <w:rPr>
          <w:sz w:val="20"/>
          <w:szCs w:val="20"/>
          <w:u w:val="single"/>
          <w:lang w:val="en-US"/>
        </w:rPr>
        <w:t>European Region</w:t>
      </w:r>
      <w:r w:rsidRPr="001B439B">
        <w:rPr>
          <w:sz w:val="20"/>
          <w:szCs w:val="20"/>
          <w:lang w:val="en-US"/>
        </w:rPr>
        <w:t xml:space="preserve">: </w:t>
      </w:r>
      <w:r w:rsidRPr="001B439B">
        <w:rPr>
          <w:sz w:val="20"/>
          <w:szCs w:val="20"/>
        </w:rPr>
        <w:t xml:space="preserve">Armenia, Austria, Azerbaijan, Belgium, Bosnia and Herzegovina, Belarus, Switzerland, Cyprus, Czech Republic, Germany, Denmark, Estonia, Finland, Georgia, Greece, Croatia, Hungary, Italy, Kazakhstan, Lithuania, Luxembourg, Latvia, Monaco, Moldova, Malta, Montenegro, Netherlands, Norway, Poland, Portugal, Serbia, Slovak Republic, Turkey, Ukraine; </w:t>
      </w:r>
    </w:p>
    <w:p w14:paraId="1B7DDB71" w14:textId="77777777" w:rsidR="00083991" w:rsidRPr="001B439B" w:rsidRDefault="00083991" w:rsidP="00083991">
      <w:pPr>
        <w:rPr>
          <w:sz w:val="20"/>
          <w:szCs w:val="20"/>
        </w:rPr>
      </w:pPr>
    </w:p>
    <w:p w14:paraId="46583712" w14:textId="77777777" w:rsidR="00083991" w:rsidRPr="001B439B" w:rsidRDefault="00083991" w:rsidP="00083991">
      <w:pPr>
        <w:rPr>
          <w:sz w:val="20"/>
          <w:szCs w:val="20"/>
        </w:rPr>
      </w:pPr>
      <w:r w:rsidRPr="001B439B">
        <w:rPr>
          <w:sz w:val="20"/>
          <w:szCs w:val="20"/>
          <w:u w:val="single"/>
        </w:rPr>
        <w:t>South-East Asia Region</w:t>
      </w:r>
      <w:r w:rsidRPr="001B439B">
        <w:rPr>
          <w:sz w:val="20"/>
          <w:szCs w:val="20"/>
        </w:rPr>
        <w:t xml:space="preserve">: Bangladesh, Bhutan, Indonesia, India, Sri Lanka, Maldives, Myanmar, Nepal, Thailand, Timor-Leste; </w:t>
      </w:r>
    </w:p>
    <w:p w14:paraId="41459025" w14:textId="77777777" w:rsidR="00083991" w:rsidRPr="001B439B" w:rsidRDefault="00083991" w:rsidP="00083991">
      <w:pPr>
        <w:rPr>
          <w:sz w:val="20"/>
          <w:szCs w:val="20"/>
        </w:rPr>
      </w:pPr>
    </w:p>
    <w:p w14:paraId="24B7B6C8" w14:textId="77777777" w:rsidR="00083991" w:rsidRPr="001B439B" w:rsidRDefault="00083991" w:rsidP="00083991">
      <w:pPr>
        <w:rPr>
          <w:sz w:val="20"/>
          <w:szCs w:val="20"/>
        </w:rPr>
      </w:pPr>
      <w:r w:rsidRPr="001B439B">
        <w:rPr>
          <w:sz w:val="20"/>
          <w:szCs w:val="20"/>
          <w:u w:val="single"/>
        </w:rPr>
        <w:t>Western Pacific Region</w:t>
      </w:r>
      <w:r w:rsidRPr="001B439B">
        <w:rPr>
          <w:sz w:val="20"/>
          <w:szCs w:val="20"/>
        </w:rPr>
        <w:t>: Australia, Brunei Darussalam, China, Cook Islands, Fiji, Micronesia (Federated States of), Japan, Cambodia, Kiribati, Republic of Korea, Lao PDR, Marshall Islands, Mongolia, Malaysia, Niue, Nauru, New Zealand, Philippines, Palau, Papua New Guinea, Singapore, Tonga, Tuvalu, Vietnam, Vanuatu, Samoa</w:t>
      </w:r>
    </w:p>
    <w:p w14:paraId="1C5585E4" w14:textId="77777777" w:rsidR="007747D7" w:rsidRDefault="007747D7" w:rsidP="007747D7">
      <w:pPr>
        <w:rPr>
          <w:b/>
          <w:sz w:val="22"/>
          <w:szCs w:val="22"/>
        </w:rPr>
      </w:pPr>
    </w:p>
    <w:p w14:paraId="7A3D86D3" w14:textId="1FB24A10" w:rsidR="007747D7" w:rsidRPr="00083991" w:rsidRDefault="00083991" w:rsidP="007747D7">
      <w:pPr>
        <w:rPr>
          <w:b/>
          <w:sz w:val="22"/>
          <w:szCs w:val="22"/>
        </w:rPr>
      </w:pPr>
      <w:r w:rsidRPr="00083991">
        <w:rPr>
          <w:b/>
          <w:sz w:val="22"/>
          <w:szCs w:val="22"/>
        </w:rPr>
        <w:t>Data availability</w:t>
      </w:r>
    </w:p>
    <w:p w14:paraId="11205039" w14:textId="77777777" w:rsidR="00083991" w:rsidRPr="00083991" w:rsidRDefault="00083991" w:rsidP="007747D7">
      <w:pPr>
        <w:rPr>
          <w:b/>
          <w:sz w:val="22"/>
          <w:szCs w:val="22"/>
        </w:rPr>
      </w:pPr>
    </w:p>
    <w:p w14:paraId="2DB3FA5E" w14:textId="77777777" w:rsidR="00083991" w:rsidRDefault="00083991" w:rsidP="007747D7">
      <w:pPr>
        <w:rPr>
          <w:sz w:val="22"/>
          <w:szCs w:val="22"/>
        </w:rPr>
      </w:pPr>
      <w:r w:rsidRPr="00083991">
        <w:rPr>
          <w:rFonts w:eastAsia="Times New Roman"/>
          <w:sz w:val="22"/>
          <w:szCs w:val="22"/>
          <w:lang w:val="en-US"/>
        </w:rPr>
        <w:t>In terms of data availability, 84 out of 183 countries are classified as high (more than 75% of index components with primary data since 2010), 85 out of 183 countries are classified as moderate (between 50% and 75% of index components with primary data since 2010) and 14 out of 183 countries are classified as low (less than 50% availability).</w:t>
      </w:r>
      <w:r>
        <w:rPr>
          <w:rFonts w:eastAsia="Times New Roman"/>
          <w:sz w:val="22"/>
          <w:szCs w:val="22"/>
          <w:lang w:val="en-US"/>
        </w:rPr>
        <w:t xml:space="preserve"> Data availability is comparable across regions.</w:t>
      </w:r>
      <w:r w:rsidRPr="00CB7EFC">
        <w:rPr>
          <w:sz w:val="22"/>
          <w:szCs w:val="22"/>
        </w:rPr>
        <w:t xml:space="preserve"> </w:t>
      </w:r>
    </w:p>
    <w:p w14:paraId="445ED438" w14:textId="77777777" w:rsidR="00410BD3" w:rsidRPr="001B439B" w:rsidRDefault="00410BD3" w:rsidP="001B439B"/>
    <w:p w14:paraId="1732F178" w14:textId="35F13A94" w:rsidR="002B36FA" w:rsidRPr="001B439B" w:rsidRDefault="000C09ED" w:rsidP="000C09ED">
      <w:pPr>
        <w:spacing w:after="120"/>
        <w:rPr>
          <w:rFonts w:cs="TimesNewRomanPS-BoldMT"/>
          <w:sz w:val="22"/>
          <w:szCs w:val="22"/>
        </w:rPr>
      </w:pPr>
      <w:r>
        <w:rPr>
          <w:rFonts w:cs="TimesNewRomanPS-BoldMT"/>
          <w:sz w:val="22"/>
          <w:szCs w:val="22"/>
        </w:rPr>
        <w:t>Since data are</w:t>
      </w:r>
      <w:r w:rsidR="00410BD3">
        <w:rPr>
          <w:rFonts w:cs="TimesNewRomanPS-BoldMT"/>
          <w:sz w:val="22"/>
          <w:szCs w:val="22"/>
        </w:rPr>
        <w:t xml:space="preserve"> available and </w:t>
      </w:r>
      <w:r>
        <w:rPr>
          <w:rFonts w:cs="TimesNewRomanPS-BoldMT"/>
          <w:sz w:val="22"/>
          <w:szCs w:val="22"/>
        </w:rPr>
        <w:t>these index components were reviewed and accepted by member states</w:t>
      </w:r>
      <w:r w:rsidR="00410BD3">
        <w:rPr>
          <w:rFonts w:cs="TimesNewRomanPS-BoldMT"/>
          <w:sz w:val="22"/>
          <w:szCs w:val="22"/>
        </w:rPr>
        <w:t xml:space="preserve">, </w:t>
      </w:r>
      <w:r w:rsidR="002B36FA" w:rsidRPr="001B439B">
        <w:rPr>
          <w:rFonts w:cs="TimesNewRomanPS-BoldMT"/>
          <w:sz w:val="22"/>
          <w:szCs w:val="22"/>
        </w:rPr>
        <w:t xml:space="preserve">we </w:t>
      </w:r>
      <w:r>
        <w:rPr>
          <w:rFonts w:cs="TimesNewRomanPS-BoldMT"/>
          <w:sz w:val="22"/>
          <w:szCs w:val="22"/>
        </w:rPr>
        <w:t>used</w:t>
      </w:r>
      <w:r w:rsidR="002B36FA" w:rsidRPr="001B439B">
        <w:rPr>
          <w:rFonts w:cs="TimesNewRomanPS-BoldMT"/>
          <w:sz w:val="22"/>
          <w:szCs w:val="22"/>
        </w:rPr>
        <w:t xml:space="preserve"> the proxy indicators in our 2017 reports</w:t>
      </w:r>
      <w:r>
        <w:rPr>
          <w:rFonts w:cs="TimesNewRomanPS-BoldMT"/>
          <w:sz w:val="22"/>
          <w:szCs w:val="22"/>
        </w:rPr>
        <w:t xml:space="preserve">.  WHO cannot change these components given that data for other, direct measures have not been consulted with member </w:t>
      </w:r>
      <w:proofErr w:type="gramStart"/>
      <w:r>
        <w:rPr>
          <w:rFonts w:cs="TimesNewRomanPS-BoldMT"/>
          <w:sz w:val="22"/>
          <w:szCs w:val="22"/>
        </w:rPr>
        <w:t>states</w:t>
      </w:r>
      <w:r w:rsidR="002B36FA" w:rsidRPr="001B439B">
        <w:rPr>
          <w:rFonts w:cs="TimesNewRomanPS-BoldMT"/>
          <w:sz w:val="22"/>
          <w:szCs w:val="22"/>
        </w:rPr>
        <w:t>.</w:t>
      </w:r>
      <w:proofErr w:type="gramEnd"/>
      <w:r w:rsidR="002B36FA" w:rsidRPr="001B439B">
        <w:rPr>
          <w:rFonts w:cs="TimesNewRomanPS-BoldMT"/>
          <w:sz w:val="22"/>
          <w:szCs w:val="22"/>
        </w:rPr>
        <w:t xml:space="preserve"> </w:t>
      </w:r>
    </w:p>
    <w:p w14:paraId="6D4445F7" w14:textId="6687A3D4" w:rsidR="007747D7" w:rsidRDefault="007747D7" w:rsidP="007747D7">
      <w:pPr>
        <w:rPr>
          <w:sz w:val="22"/>
          <w:szCs w:val="22"/>
        </w:rPr>
      </w:pPr>
      <w:r w:rsidRPr="00CB7EFC">
        <w:rPr>
          <w:sz w:val="22"/>
          <w:szCs w:val="22"/>
        </w:rPr>
        <w:t xml:space="preserve">The frequency of data collection varies across tracer indicators, but countries typically collect new data every 1 to 5 years. For indicators coming from national administrative data systems, such as for child immunization coverage, data are collected each year. However, for some other indicators, such as four or more antenatal care visits during pregnancy, those are often collected in national surveys (like DHS), </w:t>
      </w:r>
      <w:r w:rsidRPr="00CB7EFC">
        <w:rPr>
          <w:sz w:val="22"/>
          <w:szCs w:val="22"/>
        </w:rPr>
        <w:lastRenderedPageBreak/>
        <w:t xml:space="preserve">which are conducted every </w:t>
      </w:r>
      <w:r w:rsidR="00C44861">
        <w:rPr>
          <w:sz w:val="22"/>
          <w:szCs w:val="22"/>
        </w:rPr>
        <w:t>3</w:t>
      </w:r>
      <w:r w:rsidRPr="00CB7EFC">
        <w:rPr>
          <w:sz w:val="22"/>
          <w:szCs w:val="22"/>
        </w:rPr>
        <w:t xml:space="preserve">-5 years. Although every </w:t>
      </w:r>
      <w:r w:rsidR="00C44861">
        <w:rPr>
          <w:sz w:val="22"/>
          <w:szCs w:val="22"/>
        </w:rPr>
        <w:t>3</w:t>
      </w:r>
      <w:r w:rsidRPr="00CB7EFC">
        <w:rPr>
          <w:sz w:val="22"/>
          <w:szCs w:val="22"/>
        </w:rPr>
        <w:t>-5 years is not ideal, for tracking progress in changes in service coverage this is not an unreasonable time frame. The UHC index itself will be updated every 2 years by WHO, using the most recent data available for each tracer indicator from each country.</w:t>
      </w:r>
    </w:p>
    <w:p w14:paraId="62418880" w14:textId="77777777" w:rsidR="00535771" w:rsidRDefault="00535771" w:rsidP="007747D7">
      <w:pPr>
        <w:rPr>
          <w:sz w:val="22"/>
          <w:szCs w:val="22"/>
        </w:rPr>
      </w:pPr>
    </w:p>
    <w:p w14:paraId="5FC5EC8B" w14:textId="5C1F932A" w:rsidR="00324B13" w:rsidRPr="00324B13" w:rsidRDefault="00324B13" w:rsidP="007747D7">
      <w:pPr>
        <w:rPr>
          <w:b/>
          <w:sz w:val="22"/>
          <w:szCs w:val="22"/>
        </w:rPr>
      </w:pPr>
      <w:r w:rsidRPr="00324B13">
        <w:rPr>
          <w:b/>
          <w:sz w:val="22"/>
          <w:szCs w:val="22"/>
        </w:rPr>
        <w:t>Results of pilot studies</w:t>
      </w:r>
    </w:p>
    <w:p w14:paraId="47106C82" w14:textId="77777777" w:rsidR="00324B13" w:rsidRDefault="00324B13" w:rsidP="007747D7">
      <w:pPr>
        <w:rPr>
          <w:sz w:val="22"/>
          <w:szCs w:val="22"/>
        </w:rPr>
      </w:pPr>
    </w:p>
    <w:p w14:paraId="5E498BED" w14:textId="68E0499A" w:rsidR="00324B13" w:rsidRPr="00324B13" w:rsidRDefault="00324B13" w:rsidP="000C09ED">
      <w:pPr>
        <w:rPr>
          <w:sz w:val="22"/>
          <w:szCs w:val="22"/>
        </w:rPr>
      </w:pPr>
      <w:proofErr w:type="gramStart"/>
      <w:r w:rsidRPr="00324B13">
        <w:rPr>
          <w:rFonts w:eastAsia="Times New Roman"/>
          <w:sz w:val="22"/>
          <w:szCs w:val="22"/>
          <w:lang w:val="en-US"/>
        </w:rPr>
        <w:t xml:space="preserve">Country values for the </w:t>
      </w:r>
      <w:r w:rsidRPr="000C09ED">
        <w:rPr>
          <w:rFonts w:eastAsia="Times New Roman"/>
          <w:sz w:val="22"/>
          <w:szCs w:val="22"/>
          <w:lang w:val="en-US"/>
        </w:rPr>
        <w:t>index range from 22 to 86, and the index is</w:t>
      </w:r>
      <w:proofErr w:type="gramEnd"/>
      <w:r w:rsidRPr="000C09ED">
        <w:rPr>
          <w:rFonts w:eastAsia="Times New Roman"/>
          <w:sz w:val="22"/>
          <w:szCs w:val="22"/>
          <w:lang w:val="en-US"/>
        </w:rPr>
        <w:t xml:space="preserve"> highly correlated with other measures of health and development (correlation over 0.85 for under-five mortality rate, life expectancy and Human Development Index). </w:t>
      </w:r>
      <w:r w:rsidR="007A220A" w:rsidRPr="000C09ED">
        <w:rPr>
          <w:rFonts w:eastAsia="Times New Roman"/>
          <w:sz w:val="22"/>
          <w:szCs w:val="22"/>
          <w:lang w:val="en-US"/>
        </w:rPr>
        <w:t xml:space="preserve">Detailed results were published jointly with the World Bank in a UHC Global Monitoring Report and in a peer-reviewed academic paper on December 12, 2017. Results were also </w:t>
      </w:r>
      <w:bookmarkStart w:id="0" w:name="_GoBack"/>
      <w:r w:rsidR="007A220A" w:rsidRPr="000C09ED">
        <w:rPr>
          <w:rFonts w:eastAsia="Times New Roman"/>
          <w:sz w:val="22"/>
          <w:szCs w:val="22"/>
          <w:lang w:val="en-US"/>
        </w:rPr>
        <w:t>presented to head of states, health and finance ministers as well as Secretary-General of UN at the UHC Forum 2017 in Tokyo.</w:t>
      </w:r>
      <w:r w:rsidR="007A220A">
        <w:rPr>
          <w:rFonts w:eastAsia="Times New Roman"/>
          <w:lang w:val="en-US"/>
        </w:rPr>
        <w:t xml:space="preserve"> </w:t>
      </w:r>
    </w:p>
    <w:p w14:paraId="186A7E68" w14:textId="77777777" w:rsidR="0059119F" w:rsidRDefault="0059119F" w:rsidP="007747D7">
      <w:pPr>
        <w:rPr>
          <w:rFonts w:eastAsia="Times New Roman"/>
          <w:b/>
          <w:color w:val="auto"/>
          <w:sz w:val="22"/>
          <w:szCs w:val="22"/>
          <w:lang w:eastAsia="en-GB"/>
        </w:rPr>
      </w:pPr>
    </w:p>
    <w:p w14:paraId="6F3D045F" w14:textId="5930F275" w:rsidR="007747D7" w:rsidRPr="00EA5667" w:rsidRDefault="005A205A" w:rsidP="007747D7">
      <w:pPr>
        <w:rPr>
          <w:rFonts w:eastAsia="Times New Roman"/>
          <w:b/>
          <w:color w:val="auto"/>
          <w:sz w:val="22"/>
          <w:szCs w:val="22"/>
          <w:lang w:eastAsia="en-GB"/>
        </w:rPr>
      </w:pPr>
      <w:r>
        <w:rPr>
          <w:rFonts w:eastAsia="Times New Roman"/>
          <w:b/>
          <w:color w:val="auto"/>
          <w:sz w:val="22"/>
          <w:szCs w:val="22"/>
          <w:lang w:eastAsia="en-GB"/>
        </w:rPr>
        <w:t>Final comments</w:t>
      </w:r>
    </w:p>
    <w:p w14:paraId="12DDA33B" w14:textId="77777777" w:rsidR="007747D7" w:rsidRDefault="007747D7" w:rsidP="007747D7">
      <w:pPr>
        <w:rPr>
          <w:sz w:val="22"/>
          <w:szCs w:val="22"/>
        </w:rPr>
      </w:pPr>
    </w:p>
    <w:p w14:paraId="47A8664D" w14:textId="77777777" w:rsidR="00A46BB0" w:rsidRDefault="00FA7069" w:rsidP="00FA7069">
      <w:pPr>
        <w:rPr>
          <w:sz w:val="22"/>
        </w:rPr>
      </w:pPr>
      <w:r>
        <w:rPr>
          <w:sz w:val="22"/>
        </w:rPr>
        <w:t>Following the advice of the IAEG-SDGs, we have excluded</w:t>
      </w:r>
      <w:r w:rsidRPr="00683753">
        <w:rPr>
          <w:sz w:val="22"/>
        </w:rPr>
        <w:t xml:space="preserve"> 3.b.3 access to affordable medicines and </w:t>
      </w:r>
      <w:bookmarkEnd w:id="0"/>
      <w:r w:rsidRPr="00683753">
        <w:rPr>
          <w:rFonts w:eastAsia="Times New Roman"/>
          <w:sz w:val="22"/>
          <w:lang w:eastAsia="ja-JP"/>
        </w:rPr>
        <w:t>cervical cancer screening rates</w:t>
      </w:r>
      <w:r w:rsidRPr="00683753">
        <w:rPr>
          <w:sz w:val="22"/>
        </w:rPr>
        <w:t xml:space="preserve"> from the index</w:t>
      </w:r>
      <w:r>
        <w:rPr>
          <w:sz w:val="22"/>
        </w:rPr>
        <w:t xml:space="preserve"> calculation</w:t>
      </w:r>
      <w:r w:rsidRPr="00683753">
        <w:rPr>
          <w:sz w:val="22"/>
        </w:rPr>
        <w:t xml:space="preserve"> to </w:t>
      </w:r>
      <w:r>
        <w:rPr>
          <w:sz w:val="22"/>
        </w:rPr>
        <w:t xml:space="preserve">ensure that all index components are methodologically sound and have sufficient data available to demonstrate that they may be monitored.  This is consistent with the data and methods which were consulted with </w:t>
      </w:r>
      <w:r w:rsidR="00A46BB0">
        <w:rPr>
          <w:sz w:val="22"/>
        </w:rPr>
        <w:t xml:space="preserve">WHO’s </w:t>
      </w:r>
      <w:r>
        <w:rPr>
          <w:sz w:val="22"/>
        </w:rPr>
        <w:t>Member States in 2017</w:t>
      </w:r>
      <w:r w:rsidRPr="00683753">
        <w:rPr>
          <w:sz w:val="22"/>
        </w:rPr>
        <w:t>.</w:t>
      </w:r>
    </w:p>
    <w:p w14:paraId="53EDA60D" w14:textId="2269805A" w:rsidR="00FA7069" w:rsidRDefault="00FA7069" w:rsidP="00FA7069">
      <w:pPr>
        <w:rPr>
          <w:sz w:val="22"/>
          <w:szCs w:val="22"/>
        </w:rPr>
      </w:pPr>
      <w:r w:rsidRPr="00683753">
        <w:rPr>
          <w:sz w:val="22"/>
        </w:rPr>
        <w:t xml:space="preserve"> </w:t>
      </w:r>
      <w:r>
        <w:rPr>
          <w:sz w:val="22"/>
          <w:szCs w:val="22"/>
        </w:rPr>
        <w:t xml:space="preserve"> </w:t>
      </w:r>
    </w:p>
    <w:p w14:paraId="638A159C" w14:textId="3B723214" w:rsidR="002B36FA" w:rsidRDefault="007747D7" w:rsidP="00241DF7">
      <w:pPr>
        <w:rPr>
          <w:rFonts w:eastAsia="Times New Roman"/>
          <w:sz w:val="21"/>
          <w:szCs w:val="21"/>
          <w:lang w:eastAsia="en-GB"/>
        </w:rPr>
      </w:pPr>
      <w:r w:rsidRPr="00CB7EFC">
        <w:rPr>
          <w:sz w:val="22"/>
          <w:szCs w:val="22"/>
        </w:rPr>
        <w:t>We note that some of the</w:t>
      </w:r>
      <w:r w:rsidR="00A46BB0">
        <w:rPr>
          <w:sz w:val="22"/>
          <w:szCs w:val="22"/>
        </w:rPr>
        <w:t xml:space="preserve"> other</w:t>
      </w:r>
      <w:r w:rsidRPr="00CB7EFC">
        <w:rPr>
          <w:sz w:val="22"/>
          <w:szCs w:val="22"/>
        </w:rPr>
        <w:t xml:space="preserve"> tracer indicators </w:t>
      </w:r>
      <w:r w:rsidR="000C09ED">
        <w:rPr>
          <w:sz w:val="22"/>
          <w:szCs w:val="22"/>
        </w:rPr>
        <w:t>included in the</w:t>
      </w:r>
      <w:r w:rsidRPr="00CB7EFC">
        <w:rPr>
          <w:sz w:val="22"/>
          <w:szCs w:val="22"/>
        </w:rPr>
        <w:t xml:space="preserve"> index </w:t>
      </w:r>
      <w:r w:rsidR="000C09ED">
        <w:rPr>
          <w:sz w:val="22"/>
          <w:szCs w:val="22"/>
        </w:rPr>
        <w:t>may</w:t>
      </w:r>
      <w:r w:rsidRPr="00CB7EFC">
        <w:rPr>
          <w:sz w:val="22"/>
          <w:szCs w:val="22"/>
        </w:rPr>
        <w:t xml:space="preserve"> change in future years,</w:t>
      </w:r>
      <w:r w:rsidR="000C09ED">
        <w:rPr>
          <w:sz w:val="22"/>
          <w:szCs w:val="22"/>
        </w:rPr>
        <w:t xml:space="preserve"> and </w:t>
      </w:r>
      <w:r w:rsidR="00A46BB0">
        <w:rPr>
          <w:sz w:val="22"/>
          <w:szCs w:val="22"/>
        </w:rPr>
        <w:t>access to medicines and cervical cancer screening</w:t>
      </w:r>
      <w:r w:rsidR="000C09ED">
        <w:rPr>
          <w:sz w:val="22"/>
          <w:szCs w:val="22"/>
        </w:rPr>
        <w:t xml:space="preserve"> may be added,</w:t>
      </w:r>
      <w:r w:rsidRPr="00CB7EFC">
        <w:rPr>
          <w:sz w:val="22"/>
          <w:szCs w:val="22"/>
        </w:rPr>
        <w:t xml:space="preserve"> if circumstances in countries dictate and in particula</w:t>
      </w:r>
      <w:r w:rsidR="000C09ED">
        <w:rPr>
          <w:sz w:val="22"/>
          <w:szCs w:val="22"/>
        </w:rPr>
        <w:t>r as more data become available. Any changes would be preceded by</w:t>
      </w:r>
      <w:r w:rsidRPr="00CB7EFC">
        <w:rPr>
          <w:sz w:val="22"/>
          <w:szCs w:val="22"/>
        </w:rPr>
        <w:t xml:space="preserve"> consultation with all stakeholders</w:t>
      </w:r>
      <w:r w:rsidR="000C09ED">
        <w:rPr>
          <w:sz w:val="22"/>
          <w:szCs w:val="22"/>
        </w:rPr>
        <w:t>, Member States,</w:t>
      </w:r>
      <w:r w:rsidR="004A2F3D">
        <w:rPr>
          <w:sz w:val="22"/>
          <w:szCs w:val="22"/>
        </w:rPr>
        <w:t xml:space="preserve"> and approval by IAEG-SDGs</w:t>
      </w:r>
      <w:r w:rsidRPr="00CB7EFC">
        <w:rPr>
          <w:sz w:val="22"/>
          <w:szCs w:val="22"/>
        </w:rPr>
        <w:t>.</w:t>
      </w:r>
      <w:r w:rsidR="000C09ED">
        <w:rPr>
          <w:sz w:val="22"/>
          <w:szCs w:val="22"/>
        </w:rPr>
        <w:t xml:space="preserve"> </w:t>
      </w:r>
      <w:r w:rsidR="00E756C9">
        <w:rPr>
          <w:sz w:val="22"/>
          <w:szCs w:val="22"/>
        </w:rPr>
        <w:t>Because the currently used proxy indicators have been recommended during our consultation process</w:t>
      </w:r>
      <w:r w:rsidR="00FA7069">
        <w:rPr>
          <w:sz w:val="22"/>
          <w:szCs w:val="22"/>
        </w:rPr>
        <w:t xml:space="preserve"> as valid measures of service coverage</w:t>
      </w:r>
      <w:r w:rsidR="00E756C9">
        <w:rPr>
          <w:sz w:val="22"/>
          <w:szCs w:val="22"/>
        </w:rPr>
        <w:t xml:space="preserve">, and consulted with Member States, we cannot change them at this time. </w:t>
      </w:r>
      <w:r w:rsidR="00094A73">
        <w:rPr>
          <w:sz w:val="22"/>
          <w:szCs w:val="22"/>
        </w:rPr>
        <w:t>In the future, following the advice received during the consultative process</w:t>
      </w:r>
      <w:r w:rsidR="00AC4616">
        <w:rPr>
          <w:sz w:val="22"/>
          <w:szCs w:val="22"/>
        </w:rPr>
        <w:t xml:space="preserve">, we </w:t>
      </w:r>
      <w:r w:rsidR="009E1293">
        <w:rPr>
          <w:sz w:val="22"/>
          <w:szCs w:val="22"/>
        </w:rPr>
        <w:t>would like to</w:t>
      </w:r>
      <w:r w:rsidR="00AC4616">
        <w:rPr>
          <w:sz w:val="22"/>
          <w:szCs w:val="22"/>
        </w:rPr>
        <w:t xml:space="preserve"> streamline the </w:t>
      </w:r>
      <w:r w:rsidR="009E1293">
        <w:rPr>
          <w:sz w:val="22"/>
          <w:szCs w:val="22"/>
        </w:rPr>
        <w:t xml:space="preserve">tracer </w:t>
      </w:r>
      <w:r w:rsidR="00AC4616">
        <w:rPr>
          <w:sz w:val="22"/>
          <w:szCs w:val="22"/>
        </w:rPr>
        <w:t>indicators included in the index with other SDG indicators</w:t>
      </w:r>
      <w:r w:rsidR="00F375E9">
        <w:rPr>
          <w:sz w:val="22"/>
          <w:szCs w:val="22"/>
        </w:rPr>
        <w:t xml:space="preserve"> where possible</w:t>
      </w:r>
      <w:r w:rsidR="00AC4616">
        <w:rPr>
          <w:sz w:val="22"/>
          <w:szCs w:val="22"/>
        </w:rPr>
        <w:t xml:space="preserve">, once </w:t>
      </w:r>
      <w:r w:rsidR="00E369D6">
        <w:rPr>
          <w:sz w:val="22"/>
          <w:szCs w:val="22"/>
        </w:rPr>
        <w:t xml:space="preserve">metadata for </w:t>
      </w:r>
      <w:r w:rsidR="00AC4616">
        <w:rPr>
          <w:sz w:val="22"/>
          <w:szCs w:val="22"/>
        </w:rPr>
        <w:t xml:space="preserve">those SDG indicators </w:t>
      </w:r>
      <w:r w:rsidR="00E369D6">
        <w:rPr>
          <w:sz w:val="22"/>
          <w:szCs w:val="22"/>
        </w:rPr>
        <w:t>is</w:t>
      </w:r>
      <w:r w:rsidR="00AC4616">
        <w:rPr>
          <w:sz w:val="22"/>
          <w:szCs w:val="22"/>
        </w:rPr>
        <w:t xml:space="preserve"> </w:t>
      </w:r>
      <w:r w:rsidR="00E369D6">
        <w:rPr>
          <w:sz w:val="22"/>
          <w:szCs w:val="22"/>
        </w:rPr>
        <w:t>adopted</w:t>
      </w:r>
      <w:r w:rsidR="00AC4616">
        <w:rPr>
          <w:sz w:val="22"/>
          <w:szCs w:val="22"/>
        </w:rPr>
        <w:t xml:space="preserve"> </w:t>
      </w:r>
      <w:r w:rsidR="00E369D6">
        <w:rPr>
          <w:sz w:val="22"/>
          <w:szCs w:val="22"/>
        </w:rPr>
        <w:t xml:space="preserve">and </w:t>
      </w:r>
      <w:r w:rsidR="00E756C9">
        <w:rPr>
          <w:sz w:val="22"/>
          <w:szCs w:val="22"/>
        </w:rPr>
        <w:t xml:space="preserve">data are </w:t>
      </w:r>
      <w:r w:rsidR="00E369D6">
        <w:rPr>
          <w:sz w:val="22"/>
          <w:szCs w:val="22"/>
        </w:rPr>
        <w:t>widely reported</w:t>
      </w:r>
      <w:r w:rsidR="00AC4616">
        <w:rPr>
          <w:sz w:val="22"/>
          <w:szCs w:val="22"/>
        </w:rPr>
        <w:t>.</w:t>
      </w:r>
      <w:r w:rsidR="00A46BB0">
        <w:rPr>
          <w:sz w:val="22"/>
          <w:szCs w:val="22"/>
        </w:rPr>
        <w:t xml:space="preserve"> We would also aim to replace the current proxy indicators with direct measures of service coverage.</w:t>
      </w:r>
      <w:r w:rsidR="00622BC6">
        <w:rPr>
          <w:sz w:val="22"/>
          <w:szCs w:val="22"/>
        </w:rPr>
        <w:t xml:space="preserve"> </w:t>
      </w:r>
      <w:r w:rsidR="009E1293">
        <w:rPr>
          <w:sz w:val="22"/>
          <w:szCs w:val="22"/>
        </w:rPr>
        <w:t>The timing of these refinements will depend on how quickly these SDG indicators become available</w:t>
      </w:r>
      <w:r w:rsidR="00C04B40">
        <w:rPr>
          <w:sz w:val="22"/>
          <w:szCs w:val="22"/>
        </w:rPr>
        <w:t>; until then we can compute the index with existing</w:t>
      </w:r>
      <w:r w:rsidR="00094A73">
        <w:rPr>
          <w:sz w:val="22"/>
          <w:szCs w:val="22"/>
        </w:rPr>
        <w:t>, comparable</w:t>
      </w:r>
      <w:r w:rsidR="00C04B40">
        <w:rPr>
          <w:sz w:val="22"/>
          <w:szCs w:val="22"/>
        </w:rPr>
        <w:t xml:space="preserve"> data sources</w:t>
      </w:r>
      <w:r w:rsidR="009E1293">
        <w:rPr>
          <w:sz w:val="22"/>
          <w:szCs w:val="22"/>
        </w:rPr>
        <w:t>. We</w:t>
      </w:r>
      <w:r w:rsidR="009F2A94">
        <w:rPr>
          <w:sz w:val="22"/>
          <w:szCs w:val="22"/>
        </w:rPr>
        <w:t xml:space="preserve"> will be able to reconstruct historical time series to ensure temporal consistency for SDG monitoring</w:t>
      </w:r>
      <w:r w:rsidR="00225989">
        <w:rPr>
          <w:sz w:val="22"/>
          <w:szCs w:val="22"/>
        </w:rPr>
        <w:t xml:space="preserve"> over time</w:t>
      </w:r>
      <w:r w:rsidR="00A46BB0">
        <w:rPr>
          <w:sz w:val="22"/>
          <w:szCs w:val="22"/>
        </w:rPr>
        <w:t>, and</w:t>
      </w:r>
      <w:r w:rsidR="009F2A94">
        <w:rPr>
          <w:sz w:val="22"/>
          <w:szCs w:val="22"/>
        </w:rPr>
        <w:t xml:space="preserve"> </w:t>
      </w:r>
      <w:r w:rsidR="00A46BB0">
        <w:rPr>
          <w:sz w:val="22"/>
          <w:szCs w:val="22"/>
        </w:rPr>
        <w:t>t</w:t>
      </w:r>
      <w:r w:rsidR="009F2A94">
        <w:rPr>
          <w:sz w:val="22"/>
          <w:szCs w:val="22"/>
        </w:rPr>
        <w:t>he indicator’s definition and measurement framework would not be substantively altered.</w:t>
      </w:r>
      <w:r w:rsidR="00535771">
        <w:rPr>
          <w:sz w:val="22"/>
          <w:szCs w:val="22"/>
        </w:rPr>
        <w:t xml:space="preserve"> </w:t>
      </w:r>
    </w:p>
    <w:p w14:paraId="1B939978" w14:textId="77777777" w:rsidR="002B36FA" w:rsidRPr="00535771" w:rsidRDefault="002B36FA">
      <w:pPr>
        <w:rPr>
          <w:sz w:val="22"/>
          <w:szCs w:val="22"/>
        </w:rPr>
      </w:pPr>
    </w:p>
    <w:sectPr w:rsidR="002B36FA" w:rsidRPr="005357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C5345"/>
    <w:multiLevelType w:val="hybridMultilevel"/>
    <w:tmpl w:val="7616BECC"/>
    <w:lvl w:ilvl="0" w:tplc="480A1F7A">
      <w:start w:val="1"/>
      <w:numFmt w:val="decimal"/>
      <w:lvlText w:val="%1."/>
      <w:lvlJc w:val="left"/>
      <w:pPr>
        <w:tabs>
          <w:tab w:val="num" w:pos="720"/>
        </w:tabs>
        <w:ind w:left="720" w:hanging="360"/>
      </w:pPr>
    </w:lvl>
    <w:lvl w:ilvl="1" w:tplc="14E29090" w:tentative="1">
      <w:start w:val="1"/>
      <w:numFmt w:val="decimal"/>
      <w:lvlText w:val="%2."/>
      <w:lvlJc w:val="left"/>
      <w:pPr>
        <w:tabs>
          <w:tab w:val="num" w:pos="1440"/>
        </w:tabs>
        <w:ind w:left="1440" w:hanging="360"/>
      </w:pPr>
    </w:lvl>
    <w:lvl w:ilvl="2" w:tplc="86BC514A" w:tentative="1">
      <w:start w:val="1"/>
      <w:numFmt w:val="decimal"/>
      <w:lvlText w:val="%3."/>
      <w:lvlJc w:val="left"/>
      <w:pPr>
        <w:tabs>
          <w:tab w:val="num" w:pos="2160"/>
        </w:tabs>
        <w:ind w:left="2160" w:hanging="360"/>
      </w:pPr>
    </w:lvl>
    <w:lvl w:ilvl="3" w:tplc="FB6ACFAE" w:tentative="1">
      <w:start w:val="1"/>
      <w:numFmt w:val="decimal"/>
      <w:lvlText w:val="%4."/>
      <w:lvlJc w:val="left"/>
      <w:pPr>
        <w:tabs>
          <w:tab w:val="num" w:pos="2880"/>
        </w:tabs>
        <w:ind w:left="2880" w:hanging="360"/>
      </w:pPr>
    </w:lvl>
    <w:lvl w:ilvl="4" w:tplc="FFF4DC26" w:tentative="1">
      <w:start w:val="1"/>
      <w:numFmt w:val="decimal"/>
      <w:lvlText w:val="%5."/>
      <w:lvlJc w:val="left"/>
      <w:pPr>
        <w:tabs>
          <w:tab w:val="num" w:pos="3600"/>
        </w:tabs>
        <w:ind w:left="3600" w:hanging="360"/>
      </w:pPr>
    </w:lvl>
    <w:lvl w:ilvl="5" w:tplc="220229F6" w:tentative="1">
      <w:start w:val="1"/>
      <w:numFmt w:val="decimal"/>
      <w:lvlText w:val="%6."/>
      <w:lvlJc w:val="left"/>
      <w:pPr>
        <w:tabs>
          <w:tab w:val="num" w:pos="4320"/>
        </w:tabs>
        <w:ind w:left="4320" w:hanging="360"/>
      </w:pPr>
    </w:lvl>
    <w:lvl w:ilvl="6" w:tplc="39E446FA" w:tentative="1">
      <w:start w:val="1"/>
      <w:numFmt w:val="decimal"/>
      <w:lvlText w:val="%7."/>
      <w:lvlJc w:val="left"/>
      <w:pPr>
        <w:tabs>
          <w:tab w:val="num" w:pos="5040"/>
        </w:tabs>
        <w:ind w:left="5040" w:hanging="360"/>
      </w:pPr>
    </w:lvl>
    <w:lvl w:ilvl="7" w:tplc="5FF01114" w:tentative="1">
      <w:start w:val="1"/>
      <w:numFmt w:val="decimal"/>
      <w:lvlText w:val="%8."/>
      <w:lvlJc w:val="left"/>
      <w:pPr>
        <w:tabs>
          <w:tab w:val="num" w:pos="5760"/>
        </w:tabs>
        <w:ind w:left="5760" w:hanging="360"/>
      </w:pPr>
    </w:lvl>
    <w:lvl w:ilvl="8" w:tplc="91C48A76" w:tentative="1">
      <w:start w:val="1"/>
      <w:numFmt w:val="decimal"/>
      <w:lvlText w:val="%9."/>
      <w:lvlJc w:val="left"/>
      <w:pPr>
        <w:tabs>
          <w:tab w:val="num" w:pos="6480"/>
        </w:tabs>
        <w:ind w:left="6480" w:hanging="360"/>
      </w:pPr>
    </w:lvl>
  </w:abstractNum>
  <w:abstractNum w:abstractNumId="1">
    <w:nsid w:val="220D17AC"/>
    <w:multiLevelType w:val="hybridMultilevel"/>
    <w:tmpl w:val="176C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UwMLAwNjWyMDY3NDdV0lEKTi0uzszPAykwrQUAtT6JCSwAAAA="/>
  </w:docVars>
  <w:rsids>
    <w:rsidRoot w:val="007747D7"/>
    <w:rsid w:val="00020901"/>
    <w:rsid w:val="000217C2"/>
    <w:rsid w:val="000273F9"/>
    <w:rsid w:val="00060690"/>
    <w:rsid w:val="00072B12"/>
    <w:rsid w:val="00083991"/>
    <w:rsid w:val="0008778B"/>
    <w:rsid w:val="00093774"/>
    <w:rsid w:val="00094A73"/>
    <w:rsid w:val="000A4E57"/>
    <w:rsid w:val="000C09ED"/>
    <w:rsid w:val="000E4BBC"/>
    <w:rsid w:val="000F28C8"/>
    <w:rsid w:val="000F6B9F"/>
    <w:rsid w:val="00124BE2"/>
    <w:rsid w:val="00133B31"/>
    <w:rsid w:val="0014041F"/>
    <w:rsid w:val="00173041"/>
    <w:rsid w:val="001801B2"/>
    <w:rsid w:val="00190387"/>
    <w:rsid w:val="001A0FC5"/>
    <w:rsid w:val="001A7A2F"/>
    <w:rsid w:val="001B439B"/>
    <w:rsid w:val="00212BAA"/>
    <w:rsid w:val="002209A6"/>
    <w:rsid w:val="00225989"/>
    <w:rsid w:val="00241DF7"/>
    <w:rsid w:val="0024356C"/>
    <w:rsid w:val="00264FCB"/>
    <w:rsid w:val="00281AE0"/>
    <w:rsid w:val="00282E10"/>
    <w:rsid w:val="002A3DE3"/>
    <w:rsid w:val="002B36FA"/>
    <w:rsid w:val="002C3035"/>
    <w:rsid w:val="002D5B4A"/>
    <w:rsid w:val="002D79A2"/>
    <w:rsid w:val="002F062A"/>
    <w:rsid w:val="00311801"/>
    <w:rsid w:val="003203D3"/>
    <w:rsid w:val="00324B13"/>
    <w:rsid w:val="00331FF6"/>
    <w:rsid w:val="00354AC0"/>
    <w:rsid w:val="003621F8"/>
    <w:rsid w:val="00375BA2"/>
    <w:rsid w:val="003933F9"/>
    <w:rsid w:val="003A1EF5"/>
    <w:rsid w:val="003B7A98"/>
    <w:rsid w:val="003C3B98"/>
    <w:rsid w:val="003C5CA3"/>
    <w:rsid w:val="0040448D"/>
    <w:rsid w:val="004049A1"/>
    <w:rsid w:val="00407A79"/>
    <w:rsid w:val="00410BD3"/>
    <w:rsid w:val="00433CD6"/>
    <w:rsid w:val="0043795F"/>
    <w:rsid w:val="004518C5"/>
    <w:rsid w:val="00454740"/>
    <w:rsid w:val="00464142"/>
    <w:rsid w:val="00467FEB"/>
    <w:rsid w:val="004A2F3D"/>
    <w:rsid w:val="004A7D2D"/>
    <w:rsid w:val="004B7EF5"/>
    <w:rsid w:val="004D05D0"/>
    <w:rsid w:val="004F68D8"/>
    <w:rsid w:val="004F7027"/>
    <w:rsid w:val="00502CF9"/>
    <w:rsid w:val="00505CB9"/>
    <w:rsid w:val="00506767"/>
    <w:rsid w:val="00507B4C"/>
    <w:rsid w:val="0051157F"/>
    <w:rsid w:val="00517857"/>
    <w:rsid w:val="00535771"/>
    <w:rsid w:val="00550674"/>
    <w:rsid w:val="0056556A"/>
    <w:rsid w:val="00567D0C"/>
    <w:rsid w:val="00577457"/>
    <w:rsid w:val="005910FF"/>
    <w:rsid w:val="0059119F"/>
    <w:rsid w:val="005A205A"/>
    <w:rsid w:val="005A2254"/>
    <w:rsid w:val="005B7FEE"/>
    <w:rsid w:val="005D15DB"/>
    <w:rsid w:val="005E1CB8"/>
    <w:rsid w:val="005E52A5"/>
    <w:rsid w:val="005E7ACE"/>
    <w:rsid w:val="005F4C95"/>
    <w:rsid w:val="005F719A"/>
    <w:rsid w:val="00622BC6"/>
    <w:rsid w:val="00624124"/>
    <w:rsid w:val="00683753"/>
    <w:rsid w:val="006B0AA2"/>
    <w:rsid w:val="006B2379"/>
    <w:rsid w:val="006B7229"/>
    <w:rsid w:val="006E30AA"/>
    <w:rsid w:val="006F1A82"/>
    <w:rsid w:val="006F757B"/>
    <w:rsid w:val="0070708B"/>
    <w:rsid w:val="007126C1"/>
    <w:rsid w:val="00712E28"/>
    <w:rsid w:val="00713AB0"/>
    <w:rsid w:val="007747D7"/>
    <w:rsid w:val="00774B68"/>
    <w:rsid w:val="00781ECE"/>
    <w:rsid w:val="0078306D"/>
    <w:rsid w:val="00783F19"/>
    <w:rsid w:val="007858E1"/>
    <w:rsid w:val="007A0DA4"/>
    <w:rsid w:val="007A220A"/>
    <w:rsid w:val="007C1D47"/>
    <w:rsid w:val="0085393A"/>
    <w:rsid w:val="00867558"/>
    <w:rsid w:val="008B276A"/>
    <w:rsid w:val="008B5DC5"/>
    <w:rsid w:val="008C5226"/>
    <w:rsid w:val="008F327C"/>
    <w:rsid w:val="00906C9A"/>
    <w:rsid w:val="00932AAA"/>
    <w:rsid w:val="00960FAF"/>
    <w:rsid w:val="00961250"/>
    <w:rsid w:val="00982C83"/>
    <w:rsid w:val="009921FE"/>
    <w:rsid w:val="009A169F"/>
    <w:rsid w:val="009E1293"/>
    <w:rsid w:val="009E13CE"/>
    <w:rsid w:val="009F2A94"/>
    <w:rsid w:val="00A03921"/>
    <w:rsid w:val="00A24B13"/>
    <w:rsid w:val="00A302AE"/>
    <w:rsid w:val="00A305A0"/>
    <w:rsid w:val="00A42A1F"/>
    <w:rsid w:val="00A46BB0"/>
    <w:rsid w:val="00A54DBB"/>
    <w:rsid w:val="00A568D0"/>
    <w:rsid w:val="00A6021F"/>
    <w:rsid w:val="00A679AF"/>
    <w:rsid w:val="00A73A3E"/>
    <w:rsid w:val="00AA3D64"/>
    <w:rsid w:val="00AC4616"/>
    <w:rsid w:val="00AF5056"/>
    <w:rsid w:val="00B72D6E"/>
    <w:rsid w:val="00C04B40"/>
    <w:rsid w:val="00C1379A"/>
    <w:rsid w:val="00C23099"/>
    <w:rsid w:val="00C359EA"/>
    <w:rsid w:val="00C44861"/>
    <w:rsid w:val="00C564C0"/>
    <w:rsid w:val="00C8536D"/>
    <w:rsid w:val="00C9744F"/>
    <w:rsid w:val="00CC4F93"/>
    <w:rsid w:val="00D22365"/>
    <w:rsid w:val="00D4238A"/>
    <w:rsid w:val="00D6585B"/>
    <w:rsid w:val="00D9397F"/>
    <w:rsid w:val="00DA0038"/>
    <w:rsid w:val="00DA3DB1"/>
    <w:rsid w:val="00DB0650"/>
    <w:rsid w:val="00DC2719"/>
    <w:rsid w:val="00DF5FEA"/>
    <w:rsid w:val="00E2346E"/>
    <w:rsid w:val="00E23DEC"/>
    <w:rsid w:val="00E32929"/>
    <w:rsid w:val="00E369D6"/>
    <w:rsid w:val="00E4554C"/>
    <w:rsid w:val="00E467D9"/>
    <w:rsid w:val="00E70A6D"/>
    <w:rsid w:val="00E756C9"/>
    <w:rsid w:val="00E908EE"/>
    <w:rsid w:val="00E938A3"/>
    <w:rsid w:val="00EA71AA"/>
    <w:rsid w:val="00EB227D"/>
    <w:rsid w:val="00EB550E"/>
    <w:rsid w:val="00EC1694"/>
    <w:rsid w:val="00ED04A3"/>
    <w:rsid w:val="00ED50B9"/>
    <w:rsid w:val="00EF13A7"/>
    <w:rsid w:val="00F375E9"/>
    <w:rsid w:val="00F55D15"/>
    <w:rsid w:val="00F570CE"/>
    <w:rsid w:val="00F6408E"/>
    <w:rsid w:val="00F65EC6"/>
    <w:rsid w:val="00FA7069"/>
    <w:rsid w:val="00FE7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03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7D7"/>
    <w:pPr>
      <w:spacing w:after="0" w:line="240" w:lineRule="auto"/>
    </w:pPr>
    <w:rPr>
      <w:rFonts w:ascii="Times New Roman" w:eastAsiaTheme="minorHAnsi" w:hAnsi="Times New Roman" w:cs="Times New Roman"/>
      <w:color w:val="00000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57B"/>
    <w:rPr>
      <w:rFonts w:ascii="Tahoma" w:hAnsi="Tahoma" w:cs="Tahoma"/>
      <w:sz w:val="16"/>
      <w:szCs w:val="16"/>
    </w:rPr>
  </w:style>
  <w:style w:type="character" w:customStyle="1" w:styleId="BalloonTextChar">
    <w:name w:val="Balloon Text Char"/>
    <w:basedOn w:val="DefaultParagraphFont"/>
    <w:link w:val="BalloonText"/>
    <w:uiPriority w:val="99"/>
    <w:semiHidden/>
    <w:rsid w:val="006F757B"/>
    <w:rPr>
      <w:rFonts w:ascii="Tahoma" w:eastAsiaTheme="minorHAnsi" w:hAnsi="Tahoma" w:cs="Tahoma"/>
      <w:color w:val="000000"/>
      <w:sz w:val="16"/>
      <w:szCs w:val="16"/>
      <w:lang w:val="en-GB" w:eastAsia="en-US"/>
    </w:rPr>
  </w:style>
  <w:style w:type="character" w:styleId="CommentReference">
    <w:name w:val="annotation reference"/>
    <w:basedOn w:val="DefaultParagraphFont"/>
    <w:uiPriority w:val="99"/>
    <w:semiHidden/>
    <w:unhideWhenUsed/>
    <w:rsid w:val="00E467D9"/>
    <w:rPr>
      <w:sz w:val="16"/>
      <w:szCs w:val="16"/>
    </w:rPr>
  </w:style>
  <w:style w:type="paragraph" w:styleId="CommentText">
    <w:name w:val="annotation text"/>
    <w:basedOn w:val="Normal"/>
    <w:link w:val="CommentTextChar"/>
    <w:uiPriority w:val="99"/>
    <w:semiHidden/>
    <w:unhideWhenUsed/>
    <w:rsid w:val="00E467D9"/>
    <w:rPr>
      <w:sz w:val="20"/>
      <w:szCs w:val="20"/>
    </w:rPr>
  </w:style>
  <w:style w:type="character" w:customStyle="1" w:styleId="CommentTextChar">
    <w:name w:val="Comment Text Char"/>
    <w:basedOn w:val="DefaultParagraphFont"/>
    <w:link w:val="CommentText"/>
    <w:uiPriority w:val="99"/>
    <w:semiHidden/>
    <w:rsid w:val="00E467D9"/>
    <w:rPr>
      <w:rFonts w:ascii="Times New Roman" w:eastAsiaTheme="minorHAnsi" w:hAnsi="Times New Roman" w:cs="Times New Roman"/>
      <w:color w:val="000000"/>
      <w:sz w:val="20"/>
      <w:szCs w:val="20"/>
      <w:lang w:val="en-GB" w:eastAsia="en-US"/>
    </w:rPr>
  </w:style>
  <w:style w:type="paragraph" w:styleId="CommentSubject">
    <w:name w:val="annotation subject"/>
    <w:basedOn w:val="CommentText"/>
    <w:next w:val="CommentText"/>
    <w:link w:val="CommentSubjectChar"/>
    <w:uiPriority w:val="99"/>
    <w:semiHidden/>
    <w:unhideWhenUsed/>
    <w:rsid w:val="00E467D9"/>
    <w:rPr>
      <w:b/>
      <w:bCs/>
    </w:rPr>
  </w:style>
  <w:style w:type="character" w:customStyle="1" w:styleId="CommentSubjectChar">
    <w:name w:val="Comment Subject Char"/>
    <w:basedOn w:val="CommentTextChar"/>
    <w:link w:val="CommentSubject"/>
    <w:uiPriority w:val="99"/>
    <w:semiHidden/>
    <w:rsid w:val="00E467D9"/>
    <w:rPr>
      <w:rFonts w:ascii="Times New Roman" w:eastAsiaTheme="minorHAnsi" w:hAnsi="Times New Roman" w:cs="Times New Roman"/>
      <w:b/>
      <w:bCs/>
      <w:color w:val="000000"/>
      <w:sz w:val="20"/>
      <w:szCs w:val="20"/>
      <w:lang w:val="en-GB" w:eastAsia="en-US"/>
    </w:rPr>
  </w:style>
  <w:style w:type="character" w:styleId="Hyperlink">
    <w:name w:val="Hyperlink"/>
    <w:basedOn w:val="DefaultParagraphFont"/>
    <w:uiPriority w:val="99"/>
    <w:unhideWhenUsed/>
    <w:rsid w:val="00B72D6E"/>
    <w:rPr>
      <w:color w:val="0000FF" w:themeColor="hyperlink"/>
      <w:u w:val="single"/>
    </w:rPr>
  </w:style>
  <w:style w:type="paragraph" w:styleId="Revision">
    <w:name w:val="Revision"/>
    <w:hidden/>
    <w:uiPriority w:val="99"/>
    <w:semiHidden/>
    <w:rsid w:val="00774B68"/>
    <w:pPr>
      <w:spacing w:after="0" w:line="240" w:lineRule="auto"/>
    </w:pPr>
    <w:rPr>
      <w:rFonts w:ascii="Times New Roman" w:eastAsiaTheme="minorHAnsi" w:hAnsi="Times New Roman" w:cs="Times New Roman"/>
      <w:color w:val="000000"/>
      <w:sz w:val="24"/>
      <w:szCs w:val="24"/>
      <w:lang w:val="en-GB" w:eastAsia="en-US"/>
    </w:rPr>
  </w:style>
  <w:style w:type="paragraph" w:styleId="ListParagraph">
    <w:name w:val="List Paragraph"/>
    <w:basedOn w:val="Normal"/>
    <w:uiPriority w:val="34"/>
    <w:qFormat/>
    <w:rsid w:val="002B36FA"/>
    <w:pPr>
      <w:spacing w:after="200" w:line="276" w:lineRule="auto"/>
      <w:ind w:left="720"/>
      <w:contextualSpacing/>
    </w:pPr>
    <w:rPr>
      <w:rFonts w:asciiTheme="minorHAnsi" w:eastAsiaTheme="minorEastAsia" w:hAnsiTheme="minorHAnsi" w:cstheme="minorBidi"/>
      <w:color w:val="auto"/>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7D7"/>
    <w:pPr>
      <w:spacing w:after="0" w:line="240" w:lineRule="auto"/>
    </w:pPr>
    <w:rPr>
      <w:rFonts w:ascii="Times New Roman" w:eastAsiaTheme="minorHAnsi" w:hAnsi="Times New Roman" w:cs="Times New Roman"/>
      <w:color w:val="00000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57B"/>
    <w:rPr>
      <w:rFonts w:ascii="Tahoma" w:hAnsi="Tahoma" w:cs="Tahoma"/>
      <w:sz w:val="16"/>
      <w:szCs w:val="16"/>
    </w:rPr>
  </w:style>
  <w:style w:type="character" w:customStyle="1" w:styleId="BalloonTextChar">
    <w:name w:val="Balloon Text Char"/>
    <w:basedOn w:val="DefaultParagraphFont"/>
    <w:link w:val="BalloonText"/>
    <w:uiPriority w:val="99"/>
    <w:semiHidden/>
    <w:rsid w:val="006F757B"/>
    <w:rPr>
      <w:rFonts w:ascii="Tahoma" w:eastAsiaTheme="minorHAnsi" w:hAnsi="Tahoma" w:cs="Tahoma"/>
      <w:color w:val="000000"/>
      <w:sz w:val="16"/>
      <w:szCs w:val="16"/>
      <w:lang w:val="en-GB" w:eastAsia="en-US"/>
    </w:rPr>
  </w:style>
  <w:style w:type="character" w:styleId="CommentReference">
    <w:name w:val="annotation reference"/>
    <w:basedOn w:val="DefaultParagraphFont"/>
    <w:uiPriority w:val="99"/>
    <w:semiHidden/>
    <w:unhideWhenUsed/>
    <w:rsid w:val="00E467D9"/>
    <w:rPr>
      <w:sz w:val="16"/>
      <w:szCs w:val="16"/>
    </w:rPr>
  </w:style>
  <w:style w:type="paragraph" w:styleId="CommentText">
    <w:name w:val="annotation text"/>
    <w:basedOn w:val="Normal"/>
    <w:link w:val="CommentTextChar"/>
    <w:uiPriority w:val="99"/>
    <w:semiHidden/>
    <w:unhideWhenUsed/>
    <w:rsid w:val="00E467D9"/>
    <w:rPr>
      <w:sz w:val="20"/>
      <w:szCs w:val="20"/>
    </w:rPr>
  </w:style>
  <w:style w:type="character" w:customStyle="1" w:styleId="CommentTextChar">
    <w:name w:val="Comment Text Char"/>
    <w:basedOn w:val="DefaultParagraphFont"/>
    <w:link w:val="CommentText"/>
    <w:uiPriority w:val="99"/>
    <w:semiHidden/>
    <w:rsid w:val="00E467D9"/>
    <w:rPr>
      <w:rFonts w:ascii="Times New Roman" w:eastAsiaTheme="minorHAnsi" w:hAnsi="Times New Roman" w:cs="Times New Roman"/>
      <w:color w:val="000000"/>
      <w:sz w:val="20"/>
      <w:szCs w:val="20"/>
      <w:lang w:val="en-GB" w:eastAsia="en-US"/>
    </w:rPr>
  </w:style>
  <w:style w:type="paragraph" w:styleId="CommentSubject">
    <w:name w:val="annotation subject"/>
    <w:basedOn w:val="CommentText"/>
    <w:next w:val="CommentText"/>
    <w:link w:val="CommentSubjectChar"/>
    <w:uiPriority w:val="99"/>
    <w:semiHidden/>
    <w:unhideWhenUsed/>
    <w:rsid w:val="00E467D9"/>
    <w:rPr>
      <w:b/>
      <w:bCs/>
    </w:rPr>
  </w:style>
  <w:style w:type="character" w:customStyle="1" w:styleId="CommentSubjectChar">
    <w:name w:val="Comment Subject Char"/>
    <w:basedOn w:val="CommentTextChar"/>
    <w:link w:val="CommentSubject"/>
    <w:uiPriority w:val="99"/>
    <w:semiHidden/>
    <w:rsid w:val="00E467D9"/>
    <w:rPr>
      <w:rFonts w:ascii="Times New Roman" w:eastAsiaTheme="minorHAnsi" w:hAnsi="Times New Roman" w:cs="Times New Roman"/>
      <w:b/>
      <w:bCs/>
      <w:color w:val="000000"/>
      <w:sz w:val="20"/>
      <w:szCs w:val="20"/>
      <w:lang w:val="en-GB" w:eastAsia="en-US"/>
    </w:rPr>
  </w:style>
  <w:style w:type="character" w:styleId="Hyperlink">
    <w:name w:val="Hyperlink"/>
    <w:basedOn w:val="DefaultParagraphFont"/>
    <w:uiPriority w:val="99"/>
    <w:unhideWhenUsed/>
    <w:rsid w:val="00B72D6E"/>
    <w:rPr>
      <w:color w:val="0000FF" w:themeColor="hyperlink"/>
      <w:u w:val="single"/>
    </w:rPr>
  </w:style>
  <w:style w:type="paragraph" w:styleId="Revision">
    <w:name w:val="Revision"/>
    <w:hidden/>
    <w:uiPriority w:val="99"/>
    <w:semiHidden/>
    <w:rsid w:val="00774B68"/>
    <w:pPr>
      <w:spacing w:after="0" w:line="240" w:lineRule="auto"/>
    </w:pPr>
    <w:rPr>
      <w:rFonts w:ascii="Times New Roman" w:eastAsiaTheme="minorHAnsi" w:hAnsi="Times New Roman" w:cs="Times New Roman"/>
      <w:color w:val="000000"/>
      <w:sz w:val="24"/>
      <w:szCs w:val="24"/>
      <w:lang w:val="en-GB" w:eastAsia="en-US"/>
    </w:rPr>
  </w:style>
  <w:style w:type="paragraph" w:styleId="ListParagraph">
    <w:name w:val="List Paragraph"/>
    <w:basedOn w:val="Normal"/>
    <w:uiPriority w:val="34"/>
    <w:qFormat/>
    <w:rsid w:val="002B36FA"/>
    <w:pPr>
      <w:spacing w:after="200" w:line="276" w:lineRule="auto"/>
      <w:ind w:left="720"/>
      <w:contextualSpacing/>
    </w:pPr>
    <w:rPr>
      <w:rFonts w:asciiTheme="minorHAnsi" w:eastAsiaTheme="minorEastAsia" w:hAnsiTheme="minorHAnsi" w:cstheme="minorBidi"/>
      <w:color w:val="auto"/>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268845">
      <w:bodyDiv w:val="1"/>
      <w:marLeft w:val="0"/>
      <w:marRight w:val="0"/>
      <w:marTop w:val="0"/>
      <w:marBottom w:val="0"/>
      <w:divBdr>
        <w:top w:val="none" w:sz="0" w:space="0" w:color="auto"/>
        <w:left w:val="none" w:sz="0" w:space="0" w:color="auto"/>
        <w:bottom w:val="none" w:sz="0" w:space="0" w:color="auto"/>
        <w:right w:val="none" w:sz="0" w:space="0" w:color="auto"/>
      </w:divBdr>
      <w:divsChild>
        <w:div w:id="2012294410">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o.int/healthinfo/universal_health_coverage/report/2017/en/" TargetMode="External"/><Relationship Id="rId13" Type="http://schemas.openxmlformats.org/officeDocument/2006/relationships/hyperlink" Target="http://www.who.int/gho/publications/world_health_statistics/2016/en/" TargetMode="External"/><Relationship Id="rId18" Type="http://schemas.openxmlformats.org/officeDocument/2006/relationships/hyperlink" Target="http://www.who.int/healthinfo/universal_health_coverage/meetings_consultations/en/index1.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who.int/healthinfo/publications_uhc/en/" TargetMode="External"/><Relationship Id="rId12" Type="http://schemas.openxmlformats.org/officeDocument/2006/relationships/hyperlink" Target="http://collections.plos.org/uhc2014" TargetMode="External"/><Relationship Id="rId17" Type="http://schemas.openxmlformats.org/officeDocument/2006/relationships/hyperlink" Target="http://www.who.int/healthinfo/universal_health_coverage/UHC_Meeting_Bellagio_Mar2014_Report.pdf?ua=1&amp;ua=1" TargetMode="External"/><Relationship Id="rId2" Type="http://schemas.openxmlformats.org/officeDocument/2006/relationships/numbering" Target="numbering.xml"/><Relationship Id="rId16" Type="http://schemas.openxmlformats.org/officeDocument/2006/relationships/hyperlink" Target="http://www.who.int/healthinfo/universal_health_coverage/UHC_Meeting_Nov2015_Report.pdf?ua=1" TargetMode="External"/><Relationship Id="rId20" Type="http://schemas.openxmlformats.org/officeDocument/2006/relationships/hyperlink" Target="http://www.who.int/healthinfo/universal_health_coverage/UHC_Meeting_Bellagio_Sep2012_Report.pdf?ua=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ho.int/healthinfo/universal_health_coverage/report/2014/en/" TargetMode="External"/><Relationship Id="rId5" Type="http://schemas.openxmlformats.org/officeDocument/2006/relationships/settings" Target="settings.xml"/><Relationship Id="rId15" Type="http://schemas.openxmlformats.org/officeDocument/2006/relationships/hyperlink" Target="file:///C:\Users\WATABEA\AppData\Local\Microsoft\Windows\Temporary%20Internet%20Files\Content.Outlook\BR04IOGC\here" TargetMode="External"/><Relationship Id="rId10" Type="http://schemas.openxmlformats.org/officeDocument/2006/relationships/hyperlink" Target="http://www.who.int/healthinfo/universal_health_coverage/report/2015/en/" TargetMode="External"/><Relationship Id="rId19" Type="http://schemas.openxmlformats.org/officeDocument/2006/relationships/hyperlink" Target="http://www.who.int/healthinfo/universal_health_coverage/meetings_consultations/en/index2.html" TargetMode="External"/><Relationship Id="rId4" Type="http://schemas.microsoft.com/office/2007/relationships/stylesWithEffects" Target="stylesWithEffects.xml"/><Relationship Id="rId9" Type="http://schemas.openxmlformats.org/officeDocument/2006/relationships/hyperlink" Target="http://www.thelancet.com/journals/langlo/article/PIIS2214-109X(17)30472-2/abstract" TargetMode="External"/><Relationship Id="rId14" Type="http://schemas.openxmlformats.org/officeDocument/2006/relationships/hyperlink" Target="http://www.who.int/gho/publications/world_health_statistics/2017/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7151D-C12A-4093-A07C-9DA2F509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2174</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Shaswat Sapkota</dc:creator>
  <cp:lastModifiedBy>STEVENS, Gretchen</cp:lastModifiedBy>
  <cp:revision>4</cp:revision>
  <dcterms:created xsi:type="dcterms:W3CDTF">2018-03-09T19:57:00Z</dcterms:created>
  <dcterms:modified xsi:type="dcterms:W3CDTF">2018-03-12T08:28:00Z</dcterms:modified>
</cp:coreProperties>
</file>